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 марта 2022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делать, если на объекте недвижимости расположен 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геодезический пункт</w:t>
      </w:r>
    </w:p>
    <w:p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Управлении Росреестра по Самарской области прошла прямая линия, посвященная Дню геодезии и картографии, в ходе которой начальник профильного отдела Елена Полежаева рассказала об обязанностях собственников земельных участков и зданий, в которых расположены пункты государственной геодезической сети (ГГС). </w:t>
      </w:r>
    </w:p>
    <w:p>
      <w:pPr>
        <w:pStyle w:val="a3"/>
        <w:shd w:val="clear" w:color="auto" w:fill="FEFEFE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Самарской области 3877 пунктов ГГС.</w:t>
      </w:r>
      <w:r>
        <w:rPr>
          <w:rFonts w:ascii="Arial" w:hAnsi="Arial" w:cs="Arial"/>
          <w:color w:val="333333"/>
          <w:sz w:val="23"/>
          <w:szCs w:val="23"/>
          <w:shd w:val="clear" w:color="auto" w:fill="FEFEFE"/>
        </w:rPr>
        <w:t xml:space="preserve"> </w:t>
      </w:r>
      <w:r>
        <w:rPr>
          <w:color w:val="000000" w:themeColor="text1"/>
          <w:sz w:val="28"/>
          <w:szCs w:val="28"/>
          <w:shd w:val="clear" w:color="auto" w:fill="FEFEFE"/>
        </w:rPr>
        <w:t>Обязанности по их сохранности возложены на собственников объектов недвижимости, на которых они расположены</w:t>
      </w:r>
      <w:r>
        <w:rPr>
          <w:color w:val="333333"/>
          <w:sz w:val="28"/>
          <w:szCs w:val="28"/>
          <w:shd w:val="clear" w:color="auto" w:fill="FEFEFE"/>
        </w:rPr>
        <w:t xml:space="preserve">. </w:t>
      </w:r>
    </w:p>
    <w:p>
      <w:pPr>
        <w:pStyle w:val="a3"/>
        <w:shd w:val="clear" w:color="auto" w:fill="FEFEFE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пределах мест нахождения </w:t>
      </w:r>
      <w:proofErr w:type="spellStart"/>
      <w:r>
        <w:rPr>
          <w:color w:val="000000" w:themeColor="text1"/>
          <w:sz w:val="28"/>
          <w:szCs w:val="28"/>
        </w:rPr>
        <w:t>геопунктов</w:t>
      </w:r>
      <w:proofErr w:type="spellEnd"/>
      <w:r>
        <w:rPr>
          <w:color w:val="000000" w:themeColor="text1"/>
          <w:sz w:val="28"/>
          <w:szCs w:val="28"/>
        </w:rPr>
        <w:t xml:space="preserve"> запрещаются работы, которые могут привести к их уничтожению или повреждению. Так, наружные знаки пунктов нельзя убирать, перемещать, засыпать или повреждать, под запретом проведение сельскохозяйственных и строительных работ на землях, где находятся пункты ГГС. Кроме того, указанные пункты собственники обязаны сохранить при реконструкции и ремонте зданий. </w:t>
      </w:r>
    </w:p>
    <w:p>
      <w:pPr>
        <w:pStyle w:val="a3"/>
        <w:shd w:val="clear" w:color="auto" w:fill="FEFEFE"/>
        <w:spacing w:before="0" w:beforeAutospacing="0" w:after="15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Повреждение и уничтожение таких объектов, а также хищение материалов, из которых они изготовлены, влечет за собой административную ответственность.</w:t>
      </w:r>
      <w:r>
        <w:rPr>
          <w:color w:val="000000"/>
          <w:sz w:val="27"/>
          <w:szCs w:val="27"/>
        </w:rPr>
        <w:t xml:space="preserve"> </w:t>
      </w:r>
      <w:r>
        <w:rPr>
          <w:color w:val="000000" w:themeColor="text1"/>
          <w:sz w:val="28"/>
          <w:szCs w:val="28"/>
        </w:rPr>
        <w:t xml:space="preserve">Для </w:t>
      </w:r>
      <w:r>
        <w:rPr>
          <w:color w:val="000000" w:themeColor="text1"/>
          <w:sz w:val="28"/>
          <w:szCs w:val="28"/>
        </w:rPr>
        <w:lastRenderedPageBreak/>
        <w:t xml:space="preserve">граждан штраф составит от 5 до 10 тысяч рублей, для должностных лиц от 10 до 50 тысяч рублей, для юридических лиц от 50 до 200 тысяч рублей. </w:t>
      </w:r>
    </w:p>
    <w:p>
      <w:pPr>
        <w:pStyle w:val="a3"/>
        <w:shd w:val="clear" w:color="auto" w:fill="FFFFFF"/>
        <w:spacing w:before="300" w:beforeAutospacing="0" w:after="30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i/>
          <w:color w:val="000000" w:themeColor="text1"/>
          <w:sz w:val="28"/>
          <w:szCs w:val="28"/>
        </w:rPr>
        <w:t>Уничтожение пунктов государственной геодезической сети усложняет проведение геодезических и картографических работ, Дело в том, что пункты геодезических сетей являются основой при выполнении геодезических, топографических и картографических работ</w:t>
      </w:r>
      <w:bookmarkStart w:id="0" w:name="_GoBack"/>
      <w:bookmarkEnd w:id="0"/>
      <w:r>
        <w:rPr>
          <w:i/>
          <w:color w:val="000000" w:themeColor="text1"/>
          <w:sz w:val="28"/>
          <w:szCs w:val="28"/>
        </w:rPr>
        <w:t>; в градостроительной, навигационной и кадастровой деятельности. Сохранность пунктов геодезических сетей и их плотность позволяет специалистам выполнять точные измерения и повышать качество подготовки межевых и технических планов,</w:t>
      </w:r>
      <w:r>
        <w:rPr>
          <w:color w:val="000000" w:themeColor="text1"/>
          <w:sz w:val="28"/>
          <w:szCs w:val="28"/>
        </w:rPr>
        <w:t xml:space="preserve"> - говорит Елена Полежаева. </w:t>
      </w:r>
    </w:p>
    <w:p>
      <w:pPr>
        <w:pStyle w:val="a3"/>
        <w:shd w:val="clear" w:color="auto" w:fill="FFFFFF"/>
        <w:spacing w:before="300" w:beforeAutospacing="0" w:after="30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Отвечая на вопросы граждан, позвонивших на прямую линию, Елена Полежаева пояснила: правообладатели объектов недвижимости, на которых находятся пункты ГГС, а также специалисты, выполняющие геодезические и картографические работы в случае выявления повреждения или уничтожения геодезических пунктов обязаны уведомить об этом Управление Росреестра. </w:t>
      </w:r>
    </w:p>
    <w:p>
      <w:pPr>
        <w:pStyle w:val="a3"/>
        <w:shd w:val="clear" w:color="auto" w:fill="FFFFFF"/>
        <w:spacing w:before="300" w:beforeAutospacing="0" w:after="30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Организации также должны уведомлять Росреестр, если предполагают, что в результате их работ (например, строительных) геодезические пункты могут быть повреждены или уничтожены. </w:t>
      </w:r>
    </w:p>
    <w:p>
      <w:pPr>
        <w:pStyle w:val="a3"/>
        <w:shd w:val="clear" w:color="auto" w:fill="FFFFFF"/>
        <w:spacing w:before="300" w:beforeAutospacing="0" w:after="300" w:afterAutospacing="0"/>
        <w:rPr>
          <w:b/>
          <w:color w:val="000000"/>
          <w:sz w:val="27"/>
          <w:szCs w:val="27"/>
          <w:u w:val="single"/>
        </w:rPr>
      </w:pPr>
      <w:proofErr w:type="spellStart"/>
      <w:r>
        <w:rPr>
          <w:b/>
          <w:color w:val="000000"/>
          <w:sz w:val="27"/>
          <w:szCs w:val="27"/>
          <w:u w:val="single"/>
        </w:rPr>
        <w:t>Справочно</w:t>
      </w:r>
      <w:proofErr w:type="spellEnd"/>
      <w:r>
        <w:rPr>
          <w:b/>
          <w:color w:val="000000"/>
          <w:sz w:val="27"/>
          <w:szCs w:val="27"/>
          <w:u w:val="single"/>
        </w:rPr>
        <w:t>:</w:t>
      </w:r>
    </w:p>
    <w:p>
      <w:pPr>
        <w:pStyle w:val="a3"/>
        <w:shd w:val="clear" w:color="auto" w:fill="FFFFFF"/>
        <w:spacing w:before="300" w:beforeAutospacing="0" w:after="30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Геодезические пункты на местности закреплены специальными инженерными сооружениями и представляют собой: </w:t>
      </w:r>
    </w:p>
    <w:p>
      <w:pPr>
        <w:pStyle w:val="a3"/>
        <w:shd w:val="clear" w:color="auto" w:fill="FFFFFF"/>
        <w:spacing w:before="300" w:beforeAutospacing="0" w:after="30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Наружные знаки представляют собой металлические, деревянные или бетонные (каменные) сооружения – пирамиды, сигналы, туры. </w:t>
      </w:r>
    </w:p>
    <w:p>
      <w:pPr>
        <w:pStyle w:val="a3"/>
        <w:shd w:val="clear" w:color="auto" w:fill="FEFEFE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color w:val="000000"/>
          <w:sz w:val="27"/>
          <w:szCs w:val="27"/>
        </w:rPr>
        <w:t xml:space="preserve">Центры пунктов в виде железобетонных пилонов, свай или металлических труб устанавливаются в грунт на определенную глубину. </w:t>
      </w:r>
      <w:r>
        <w:rPr>
          <w:b/>
          <w:color w:val="000000"/>
          <w:sz w:val="27"/>
          <w:szCs w:val="27"/>
        </w:rPr>
        <w:t>Центр пункта является носителем координат.</w:t>
      </w:r>
    </w:p>
    <w:p>
      <w:pPr>
        <w:spacing w:after="0" w:line="240" w:lineRule="auto"/>
        <w:jc w:val="both"/>
        <w:rPr>
          <w:color w:val="000000"/>
          <w:sz w:val="27"/>
          <w:szCs w:val="27"/>
        </w:rPr>
      </w:pPr>
    </w:p>
    <w:p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>
      <w:pPr>
        <w:spacing w:after="0" w:line="240" w:lineRule="auto"/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B1259-05D7-489C-8BFE-FE7D8FAB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easer">
    <w:name w:val="teas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676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18" w:space="19" w:color="4D8FF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5</cp:revision>
  <cp:lastPrinted>2022-03-14T07:04:00Z</cp:lastPrinted>
  <dcterms:created xsi:type="dcterms:W3CDTF">2022-03-14T06:19:00Z</dcterms:created>
  <dcterms:modified xsi:type="dcterms:W3CDTF">2022-03-14T09:47:00Z</dcterms:modified>
</cp:coreProperties>
</file>