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67DA" w:rsidRPr="00CF67DA" w:rsidRDefault="00CF67DA" w:rsidP="00CF67DA">
      <w:pPr>
        <w:shd w:val="clear" w:color="auto" w:fill="FFFFFF"/>
        <w:spacing w:after="100" w:afterAutospacing="1" w:line="240" w:lineRule="auto"/>
        <w:ind w:firstLine="0"/>
        <w:jc w:val="center"/>
        <w:rPr>
          <w:color w:val="212121"/>
          <w:sz w:val="21"/>
          <w:szCs w:val="21"/>
        </w:rPr>
      </w:pPr>
      <w:r w:rsidRPr="00CF67DA">
        <w:rPr>
          <w:b/>
          <w:bCs/>
          <w:color w:val="212121"/>
          <w:sz w:val="21"/>
          <w:szCs w:val="21"/>
        </w:rPr>
        <w:t>РОССИЙСКАЯ ФЕДЕРАЦИЯ</w:t>
      </w:r>
    </w:p>
    <w:p w:rsidR="00CF67DA" w:rsidRPr="00CF67DA" w:rsidRDefault="00CF67DA" w:rsidP="00CF67DA">
      <w:pPr>
        <w:shd w:val="clear" w:color="auto" w:fill="FFFFFF"/>
        <w:spacing w:after="100" w:afterAutospacing="1" w:line="240" w:lineRule="auto"/>
        <w:ind w:firstLine="0"/>
        <w:jc w:val="center"/>
        <w:rPr>
          <w:color w:val="212121"/>
          <w:sz w:val="21"/>
          <w:szCs w:val="21"/>
        </w:rPr>
      </w:pPr>
      <w:r w:rsidRPr="00CF67DA">
        <w:rPr>
          <w:b/>
          <w:bCs/>
          <w:color w:val="212121"/>
          <w:sz w:val="21"/>
          <w:szCs w:val="21"/>
        </w:rPr>
        <w:t>САМАРСКАЯ ОБЛАСТЬ</w:t>
      </w:r>
    </w:p>
    <w:p w:rsidR="00CF67DA" w:rsidRPr="00CF67DA" w:rsidRDefault="00CF67DA" w:rsidP="00CF67DA">
      <w:pPr>
        <w:shd w:val="clear" w:color="auto" w:fill="FFFFFF"/>
        <w:spacing w:after="100" w:afterAutospacing="1" w:line="240" w:lineRule="auto"/>
        <w:ind w:firstLine="0"/>
        <w:jc w:val="center"/>
        <w:rPr>
          <w:color w:val="212121"/>
          <w:sz w:val="21"/>
          <w:szCs w:val="21"/>
        </w:rPr>
      </w:pPr>
      <w:r w:rsidRPr="00CF67DA">
        <w:rPr>
          <w:b/>
          <w:bCs/>
          <w:color w:val="212121"/>
          <w:sz w:val="21"/>
          <w:szCs w:val="21"/>
        </w:rPr>
        <w:t>МУНИЦИПАЛЬНЫЙ РАЙОН НЕФТЕГОРСКИЙ</w:t>
      </w:r>
    </w:p>
    <w:p w:rsidR="00CF67DA" w:rsidRPr="00CF67DA" w:rsidRDefault="00CF67DA" w:rsidP="00CF67DA">
      <w:pPr>
        <w:shd w:val="clear" w:color="auto" w:fill="FFFFFF"/>
        <w:spacing w:after="100" w:afterAutospacing="1" w:line="240" w:lineRule="auto"/>
        <w:ind w:firstLine="0"/>
        <w:jc w:val="center"/>
        <w:rPr>
          <w:color w:val="212121"/>
          <w:sz w:val="21"/>
          <w:szCs w:val="21"/>
        </w:rPr>
      </w:pPr>
      <w:r w:rsidRPr="00CF67DA">
        <w:rPr>
          <w:b/>
          <w:bCs/>
          <w:color w:val="212121"/>
          <w:sz w:val="21"/>
          <w:szCs w:val="21"/>
        </w:rPr>
        <w:t>СОБРАНИЕ ПРЕДСТАВИТЕЛЕЙ</w:t>
      </w:r>
    </w:p>
    <w:p w:rsidR="00CF67DA" w:rsidRPr="00CF67DA" w:rsidRDefault="00CF67DA" w:rsidP="00CF67DA">
      <w:pPr>
        <w:spacing w:line="240" w:lineRule="auto"/>
        <w:ind w:firstLine="0"/>
        <w:rPr>
          <w:sz w:val="24"/>
        </w:rPr>
      </w:pPr>
      <w:r w:rsidRPr="00CF67DA">
        <w:rPr>
          <w:color w:val="212121"/>
          <w:sz w:val="21"/>
          <w:szCs w:val="21"/>
        </w:rPr>
        <w:br/>
      </w:r>
    </w:p>
    <w:p w:rsidR="00CF67DA" w:rsidRPr="00CF67DA" w:rsidRDefault="00CF67DA" w:rsidP="00CF67DA">
      <w:pPr>
        <w:shd w:val="clear" w:color="auto" w:fill="FFFFFF"/>
        <w:spacing w:after="100" w:afterAutospacing="1" w:line="240" w:lineRule="auto"/>
        <w:ind w:firstLine="0"/>
        <w:jc w:val="center"/>
        <w:rPr>
          <w:color w:val="212121"/>
          <w:sz w:val="21"/>
          <w:szCs w:val="21"/>
        </w:rPr>
      </w:pPr>
      <w:r w:rsidRPr="00CF67DA">
        <w:rPr>
          <w:b/>
          <w:bCs/>
          <w:color w:val="212121"/>
          <w:sz w:val="21"/>
          <w:szCs w:val="21"/>
        </w:rPr>
        <w:t>СЕЛЬСКОГО ПОСЕЛЕНИЯ ЗУЕВКА</w:t>
      </w:r>
    </w:p>
    <w:p w:rsidR="00CF67DA" w:rsidRPr="00CF67DA" w:rsidRDefault="00CF67DA" w:rsidP="00CF67DA">
      <w:pPr>
        <w:shd w:val="clear" w:color="auto" w:fill="FFFFFF"/>
        <w:spacing w:after="100" w:afterAutospacing="1" w:line="240" w:lineRule="auto"/>
        <w:ind w:firstLine="0"/>
        <w:jc w:val="center"/>
        <w:rPr>
          <w:color w:val="212121"/>
          <w:sz w:val="21"/>
          <w:szCs w:val="21"/>
        </w:rPr>
      </w:pPr>
      <w:r w:rsidRPr="00CF67DA">
        <w:rPr>
          <w:b/>
          <w:bCs/>
          <w:color w:val="212121"/>
          <w:sz w:val="21"/>
          <w:szCs w:val="21"/>
        </w:rPr>
        <w:t>ТРЕТЬЕГО</w:t>
      </w:r>
      <w:r w:rsidRPr="00CF67DA">
        <w:rPr>
          <w:color w:val="212121"/>
          <w:sz w:val="21"/>
          <w:szCs w:val="21"/>
        </w:rPr>
        <w:t> </w:t>
      </w:r>
      <w:r w:rsidRPr="00CF67DA">
        <w:rPr>
          <w:b/>
          <w:bCs/>
          <w:color w:val="212121"/>
          <w:sz w:val="21"/>
          <w:szCs w:val="21"/>
        </w:rPr>
        <w:t>СОЗЫВА</w:t>
      </w:r>
    </w:p>
    <w:p w:rsidR="00CF67DA" w:rsidRPr="00CF67DA" w:rsidRDefault="00CF67DA" w:rsidP="00CF67DA">
      <w:pPr>
        <w:spacing w:line="240" w:lineRule="auto"/>
        <w:ind w:firstLine="0"/>
        <w:rPr>
          <w:sz w:val="24"/>
        </w:rPr>
      </w:pPr>
      <w:r w:rsidRPr="00CF67DA">
        <w:rPr>
          <w:color w:val="212121"/>
          <w:sz w:val="21"/>
          <w:szCs w:val="21"/>
        </w:rPr>
        <w:br/>
      </w:r>
    </w:p>
    <w:p w:rsidR="00CF67DA" w:rsidRPr="00CF67DA" w:rsidRDefault="00CF67DA" w:rsidP="00CF67DA">
      <w:pPr>
        <w:shd w:val="clear" w:color="auto" w:fill="FFFFFF"/>
        <w:spacing w:after="100" w:afterAutospacing="1" w:line="240" w:lineRule="auto"/>
        <w:ind w:firstLine="0"/>
        <w:rPr>
          <w:color w:val="212121"/>
          <w:sz w:val="21"/>
          <w:szCs w:val="21"/>
        </w:rPr>
      </w:pPr>
      <w:r w:rsidRPr="00CF67DA">
        <w:rPr>
          <w:color w:val="212121"/>
          <w:sz w:val="21"/>
          <w:szCs w:val="21"/>
        </w:rPr>
        <w:t>                                                        </w:t>
      </w:r>
    </w:p>
    <w:p w:rsidR="00CF67DA" w:rsidRPr="00CF67DA" w:rsidRDefault="00CF67DA" w:rsidP="00CF67DA">
      <w:pPr>
        <w:shd w:val="clear" w:color="auto" w:fill="FFFFFF"/>
        <w:spacing w:after="100" w:afterAutospacing="1" w:line="240" w:lineRule="auto"/>
        <w:ind w:firstLine="0"/>
        <w:jc w:val="center"/>
        <w:rPr>
          <w:color w:val="212121"/>
          <w:sz w:val="21"/>
          <w:szCs w:val="21"/>
        </w:rPr>
      </w:pPr>
      <w:r w:rsidRPr="00CF67DA">
        <w:rPr>
          <w:b/>
          <w:bCs/>
          <w:color w:val="212121"/>
          <w:sz w:val="21"/>
          <w:szCs w:val="21"/>
        </w:rPr>
        <w:t>РЕШЕНИЕ</w:t>
      </w:r>
    </w:p>
    <w:p w:rsidR="00CF67DA" w:rsidRPr="00CF67DA" w:rsidRDefault="00CF67DA" w:rsidP="00CF67DA">
      <w:pPr>
        <w:shd w:val="clear" w:color="auto" w:fill="FFFFFF"/>
        <w:spacing w:after="100" w:afterAutospacing="1" w:line="240" w:lineRule="auto"/>
        <w:ind w:firstLine="0"/>
        <w:jc w:val="center"/>
        <w:rPr>
          <w:color w:val="212121"/>
          <w:sz w:val="21"/>
          <w:szCs w:val="21"/>
        </w:rPr>
      </w:pPr>
      <w:r w:rsidRPr="00CF67DA">
        <w:rPr>
          <w:b/>
          <w:bCs/>
          <w:color w:val="212121"/>
          <w:sz w:val="21"/>
          <w:szCs w:val="21"/>
        </w:rPr>
        <w:t> </w:t>
      </w:r>
    </w:p>
    <w:p w:rsidR="00CF67DA" w:rsidRPr="00CF67DA" w:rsidRDefault="00CF67DA" w:rsidP="00CF67DA">
      <w:pPr>
        <w:shd w:val="clear" w:color="auto" w:fill="FFFFFF"/>
        <w:spacing w:after="100" w:afterAutospacing="1" w:line="240" w:lineRule="auto"/>
        <w:ind w:firstLine="0"/>
        <w:rPr>
          <w:color w:val="212121"/>
          <w:sz w:val="21"/>
          <w:szCs w:val="21"/>
        </w:rPr>
      </w:pPr>
      <w:r w:rsidRPr="00CF67DA">
        <w:rPr>
          <w:b/>
          <w:bCs/>
          <w:color w:val="212121"/>
          <w:sz w:val="21"/>
          <w:szCs w:val="21"/>
        </w:rPr>
        <w:t>от 29.04.2016 год                                                                                                                 № 43</w:t>
      </w:r>
    </w:p>
    <w:p w:rsidR="00CF67DA" w:rsidRPr="00CF67DA" w:rsidRDefault="00CF67DA" w:rsidP="00CF67DA">
      <w:pPr>
        <w:shd w:val="clear" w:color="auto" w:fill="FFFFFF"/>
        <w:spacing w:after="100" w:afterAutospacing="1" w:line="240" w:lineRule="auto"/>
        <w:ind w:firstLine="0"/>
        <w:rPr>
          <w:color w:val="212121"/>
          <w:sz w:val="21"/>
          <w:szCs w:val="21"/>
        </w:rPr>
      </w:pPr>
      <w:r w:rsidRPr="00CF67DA">
        <w:rPr>
          <w:color w:val="212121"/>
          <w:sz w:val="21"/>
          <w:szCs w:val="21"/>
        </w:rPr>
        <w:t>                                                                                                                           </w:t>
      </w:r>
    </w:p>
    <w:p w:rsidR="00CF67DA" w:rsidRPr="00CF67DA" w:rsidRDefault="00CF67DA" w:rsidP="00CF67DA">
      <w:pPr>
        <w:shd w:val="clear" w:color="auto" w:fill="FFFFFF"/>
        <w:spacing w:after="100" w:afterAutospacing="1" w:line="240" w:lineRule="auto"/>
        <w:ind w:firstLine="0"/>
        <w:jc w:val="center"/>
        <w:rPr>
          <w:color w:val="212121"/>
          <w:sz w:val="21"/>
          <w:szCs w:val="21"/>
        </w:rPr>
      </w:pPr>
      <w:r w:rsidRPr="00CF67DA">
        <w:rPr>
          <w:b/>
          <w:bCs/>
          <w:color w:val="212121"/>
          <w:sz w:val="21"/>
          <w:szCs w:val="21"/>
        </w:rPr>
        <w:t>Об утверждении Методики прогнозирования доходов бюджета сельского поселения Зуевка муниципального района Нефтегорский</w:t>
      </w:r>
    </w:p>
    <w:p w:rsidR="00CF67DA" w:rsidRPr="00CF67DA" w:rsidRDefault="00CF67DA" w:rsidP="00CF67DA">
      <w:pPr>
        <w:shd w:val="clear" w:color="auto" w:fill="FFFFFF"/>
        <w:spacing w:after="100" w:afterAutospacing="1" w:line="240" w:lineRule="auto"/>
        <w:ind w:firstLine="0"/>
        <w:rPr>
          <w:color w:val="212121"/>
          <w:sz w:val="21"/>
          <w:szCs w:val="21"/>
        </w:rPr>
      </w:pPr>
      <w:r w:rsidRPr="00CF67DA">
        <w:rPr>
          <w:color w:val="212121"/>
          <w:sz w:val="21"/>
          <w:szCs w:val="21"/>
        </w:rPr>
        <w:t>            В соответствии с Бюджетным кодексом Российской Федерации, Положением о бюджетном процессе в сельском поселении Зуевка, Собрание представителей сельского поселения Зуевка</w:t>
      </w:r>
    </w:p>
    <w:p w:rsidR="00CF67DA" w:rsidRPr="00CF67DA" w:rsidRDefault="00CF67DA" w:rsidP="00CF67DA">
      <w:pPr>
        <w:shd w:val="clear" w:color="auto" w:fill="FFFFFF"/>
        <w:spacing w:after="100" w:afterAutospacing="1" w:line="240" w:lineRule="auto"/>
        <w:ind w:firstLine="0"/>
        <w:jc w:val="center"/>
        <w:rPr>
          <w:color w:val="212121"/>
          <w:sz w:val="21"/>
          <w:szCs w:val="21"/>
        </w:rPr>
      </w:pPr>
      <w:r w:rsidRPr="00CF67DA">
        <w:rPr>
          <w:b/>
          <w:bCs/>
          <w:color w:val="212121"/>
          <w:sz w:val="21"/>
          <w:szCs w:val="21"/>
        </w:rPr>
        <w:t>РЕШИЛО:</w:t>
      </w:r>
    </w:p>
    <w:p w:rsidR="00CF67DA" w:rsidRPr="00CF67DA" w:rsidRDefault="00CF67DA" w:rsidP="00CF67DA">
      <w:pPr>
        <w:shd w:val="clear" w:color="auto" w:fill="FFFFFF"/>
        <w:spacing w:after="100" w:afterAutospacing="1" w:line="240" w:lineRule="auto"/>
        <w:ind w:firstLine="0"/>
        <w:rPr>
          <w:color w:val="212121"/>
          <w:sz w:val="21"/>
          <w:szCs w:val="21"/>
        </w:rPr>
      </w:pPr>
      <w:r w:rsidRPr="00CF67DA">
        <w:rPr>
          <w:color w:val="212121"/>
          <w:sz w:val="21"/>
          <w:szCs w:val="21"/>
        </w:rPr>
        <w:br/>
        <w:t>1. Утвердить Методику прогнозирования доходов бюджета сельского поселения Зуевка муниципального района Нефтегорский (приложение № 1).</w:t>
      </w:r>
      <w:r w:rsidRPr="00CF67DA">
        <w:rPr>
          <w:color w:val="212121"/>
          <w:sz w:val="21"/>
          <w:szCs w:val="21"/>
        </w:rPr>
        <w:br/>
        <w:t>2. Настоящее Решение опубликовать в газете «Зуевская весточка» и разместить на официальном сайте администрации муниципального района Нефтегорский</w:t>
      </w:r>
    </w:p>
    <w:p w:rsidR="00CF67DA" w:rsidRPr="00CF67DA" w:rsidRDefault="00CF67DA" w:rsidP="00CF67DA">
      <w:pPr>
        <w:shd w:val="clear" w:color="auto" w:fill="FFFFFF"/>
        <w:spacing w:after="100" w:afterAutospacing="1" w:line="240" w:lineRule="auto"/>
        <w:ind w:firstLine="0"/>
        <w:rPr>
          <w:color w:val="212121"/>
          <w:sz w:val="21"/>
          <w:szCs w:val="21"/>
        </w:rPr>
      </w:pPr>
      <w:r w:rsidRPr="00CF67DA">
        <w:rPr>
          <w:color w:val="212121"/>
          <w:sz w:val="21"/>
          <w:szCs w:val="21"/>
        </w:rPr>
        <w:t>Председатель</w:t>
      </w:r>
    </w:p>
    <w:p w:rsidR="00CF67DA" w:rsidRPr="00CF67DA" w:rsidRDefault="00CF67DA" w:rsidP="00CF67DA">
      <w:pPr>
        <w:shd w:val="clear" w:color="auto" w:fill="FFFFFF"/>
        <w:spacing w:after="100" w:afterAutospacing="1" w:line="240" w:lineRule="auto"/>
        <w:ind w:firstLine="0"/>
        <w:rPr>
          <w:color w:val="212121"/>
          <w:sz w:val="21"/>
          <w:szCs w:val="21"/>
        </w:rPr>
      </w:pPr>
      <w:r w:rsidRPr="00CF67DA">
        <w:rPr>
          <w:color w:val="212121"/>
          <w:sz w:val="21"/>
          <w:szCs w:val="21"/>
        </w:rPr>
        <w:t>Собрания представителей</w:t>
      </w:r>
    </w:p>
    <w:p w:rsidR="00CF67DA" w:rsidRPr="00CF67DA" w:rsidRDefault="00CF67DA" w:rsidP="00CF67DA">
      <w:pPr>
        <w:shd w:val="clear" w:color="auto" w:fill="FFFFFF"/>
        <w:spacing w:after="100" w:afterAutospacing="1" w:line="240" w:lineRule="auto"/>
        <w:ind w:firstLine="0"/>
        <w:rPr>
          <w:color w:val="212121"/>
          <w:sz w:val="21"/>
          <w:szCs w:val="21"/>
        </w:rPr>
      </w:pPr>
      <w:r w:rsidRPr="00CF67DA">
        <w:rPr>
          <w:color w:val="212121"/>
          <w:sz w:val="21"/>
          <w:szCs w:val="21"/>
        </w:rPr>
        <w:t>сельского поселения Зуевка                                                                 А.В.Скоков</w:t>
      </w:r>
    </w:p>
    <w:p w:rsidR="00CF67DA" w:rsidRPr="00CF67DA" w:rsidRDefault="00CF67DA" w:rsidP="00CF67DA">
      <w:pPr>
        <w:shd w:val="clear" w:color="auto" w:fill="FFFFFF"/>
        <w:spacing w:after="100" w:afterAutospacing="1" w:line="240" w:lineRule="auto"/>
        <w:ind w:firstLine="0"/>
        <w:rPr>
          <w:color w:val="212121"/>
          <w:sz w:val="21"/>
          <w:szCs w:val="21"/>
        </w:rPr>
      </w:pPr>
      <w:r w:rsidRPr="00CF67DA">
        <w:rPr>
          <w:color w:val="212121"/>
          <w:sz w:val="21"/>
          <w:szCs w:val="21"/>
        </w:rPr>
        <w:t>Глава сельского поселения Зуевка                                                      М.А.Решетов</w:t>
      </w:r>
    </w:p>
    <w:p w:rsidR="00CF67DA" w:rsidRPr="00CF67DA" w:rsidRDefault="00CF67DA" w:rsidP="00CF67DA">
      <w:pPr>
        <w:shd w:val="clear" w:color="auto" w:fill="FFFFFF"/>
        <w:spacing w:after="100" w:afterAutospacing="1" w:line="240" w:lineRule="auto"/>
        <w:ind w:firstLine="0"/>
        <w:jc w:val="right"/>
        <w:rPr>
          <w:color w:val="212121"/>
          <w:sz w:val="21"/>
          <w:szCs w:val="21"/>
        </w:rPr>
      </w:pPr>
      <w:r w:rsidRPr="00CF67DA">
        <w:rPr>
          <w:color w:val="212121"/>
          <w:sz w:val="21"/>
          <w:szCs w:val="21"/>
        </w:rPr>
        <w:t>Приложение № 1</w:t>
      </w:r>
    </w:p>
    <w:p w:rsidR="00CF67DA" w:rsidRPr="00CF67DA" w:rsidRDefault="00CF67DA" w:rsidP="00CF67DA">
      <w:pPr>
        <w:shd w:val="clear" w:color="auto" w:fill="FFFFFF"/>
        <w:spacing w:after="100" w:afterAutospacing="1" w:line="240" w:lineRule="auto"/>
        <w:ind w:firstLine="0"/>
        <w:jc w:val="right"/>
        <w:rPr>
          <w:color w:val="212121"/>
          <w:sz w:val="21"/>
          <w:szCs w:val="21"/>
        </w:rPr>
      </w:pPr>
      <w:r w:rsidRPr="00CF67DA">
        <w:rPr>
          <w:color w:val="212121"/>
          <w:sz w:val="21"/>
          <w:szCs w:val="21"/>
        </w:rPr>
        <w:t>                                                                                                    к Решению Собрания</w:t>
      </w:r>
    </w:p>
    <w:p w:rsidR="00CF67DA" w:rsidRPr="00CF67DA" w:rsidRDefault="00CF67DA" w:rsidP="00CF67DA">
      <w:pPr>
        <w:shd w:val="clear" w:color="auto" w:fill="FFFFFF"/>
        <w:spacing w:after="100" w:afterAutospacing="1" w:line="240" w:lineRule="auto"/>
        <w:ind w:firstLine="0"/>
        <w:jc w:val="right"/>
        <w:rPr>
          <w:color w:val="212121"/>
          <w:sz w:val="21"/>
          <w:szCs w:val="21"/>
        </w:rPr>
      </w:pPr>
      <w:r w:rsidRPr="00CF67DA">
        <w:rPr>
          <w:color w:val="212121"/>
          <w:sz w:val="21"/>
          <w:szCs w:val="21"/>
        </w:rPr>
        <w:t>                                                           представителей сельского</w:t>
      </w:r>
    </w:p>
    <w:p w:rsidR="00CF67DA" w:rsidRPr="00CF67DA" w:rsidRDefault="00CF67DA" w:rsidP="00CF67DA">
      <w:pPr>
        <w:shd w:val="clear" w:color="auto" w:fill="FFFFFF"/>
        <w:spacing w:after="100" w:afterAutospacing="1" w:line="240" w:lineRule="auto"/>
        <w:ind w:firstLine="0"/>
        <w:jc w:val="right"/>
        <w:rPr>
          <w:color w:val="212121"/>
          <w:sz w:val="21"/>
          <w:szCs w:val="21"/>
        </w:rPr>
      </w:pPr>
      <w:r w:rsidRPr="00CF67DA">
        <w:rPr>
          <w:color w:val="212121"/>
          <w:sz w:val="21"/>
          <w:szCs w:val="21"/>
        </w:rPr>
        <w:t>                                                                                             поселения Зуевка</w:t>
      </w:r>
    </w:p>
    <w:p w:rsidR="00CF67DA" w:rsidRPr="00CF67DA" w:rsidRDefault="00CF67DA" w:rsidP="00CF67DA">
      <w:pPr>
        <w:shd w:val="clear" w:color="auto" w:fill="FFFFFF"/>
        <w:spacing w:after="100" w:afterAutospacing="1" w:line="240" w:lineRule="auto"/>
        <w:ind w:firstLine="0"/>
        <w:jc w:val="right"/>
        <w:rPr>
          <w:color w:val="212121"/>
          <w:sz w:val="21"/>
          <w:szCs w:val="21"/>
        </w:rPr>
      </w:pPr>
      <w:r w:rsidRPr="00CF67DA">
        <w:rPr>
          <w:color w:val="212121"/>
          <w:sz w:val="21"/>
          <w:szCs w:val="21"/>
        </w:rPr>
        <w:lastRenderedPageBreak/>
        <w:t>от 29.04.2016 № 43</w:t>
      </w:r>
    </w:p>
    <w:p w:rsidR="00CF67DA" w:rsidRPr="00CF67DA" w:rsidRDefault="00CF67DA" w:rsidP="00CF67DA">
      <w:pPr>
        <w:shd w:val="clear" w:color="auto" w:fill="FFFFFF"/>
        <w:spacing w:after="100" w:afterAutospacing="1" w:line="240" w:lineRule="auto"/>
        <w:ind w:firstLine="0"/>
        <w:jc w:val="center"/>
        <w:rPr>
          <w:color w:val="212121"/>
          <w:sz w:val="21"/>
          <w:szCs w:val="21"/>
        </w:rPr>
      </w:pPr>
      <w:r w:rsidRPr="00CF67DA">
        <w:rPr>
          <w:b/>
          <w:bCs/>
          <w:color w:val="212121"/>
          <w:sz w:val="21"/>
          <w:szCs w:val="21"/>
        </w:rPr>
        <w:t>Методика</w:t>
      </w:r>
      <w:r w:rsidRPr="00CF67DA">
        <w:rPr>
          <w:color w:val="212121"/>
          <w:sz w:val="21"/>
          <w:szCs w:val="21"/>
        </w:rPr>
        <w:br/>
      </w:r>
      <w:r w:rsidRPr="00CF67DA">
        <w:rPr>
          <w:b/>
          <w:bCs/>
          <w:color w:val="212121"/>
          <w:sz w:val="21"/>
          <w:szCs w:val="21"/>
        </w:rPr>
        <w:t>прогнозирования доходов бюджета сельского поселения Зуевка муниципального района Нефтегорский</w:t>
      </w:r>
    </w:p>
    <w:p w:rsidR="00CF67DA" w:rsidRPr="00CF67DA" w:rsidRDefault="00CF67DA" w:rsidP="00CF67DA">
      <w:pPr>
        <w:shd w:val="clear" w:color="auto" w:fill="FFFFFF"/>
        <w:spacing w:after="100" w:afterAutospacing="1" w:line="240" w:lineRule="auto"/>
        <w:ind w:firstLine="0"/>
        <w:rPr>
          <w:color w:val="212121"/>
          <w:sz w:val="21"/>
          <w:szCs w:val="21"/>
        </w:rPr>
      </w:pPr>
      <w:r w:rsidRPr="00CF67DA">
        <w:rPr>
          <w:color w:val="212121"/>
          <w:sz w:val="21"/>
          <w:szCs w:val="21"/>
        </w:rPr>
        <w:t>1.Общие положения</w:t>
      </w:r>
      <w:r w:rsidRPr="00CF67DA">
        <w:rPr>
          <w:color w:val="212121"/>
          <w:sz w:val="21"/>
          <w:szCs w:val="21"/>
        </w:rPr>
        <w:br/>
        <w:t>Настоящая Методика прогнозирования доходов бюджета сельского поселения Зуевка муниципального района Нефтегорский (далее – Методика) разработана в целях осуществления формализованного подхода к прогнозированию налоговых и неналоговых доходов бюджета сельского поселения Зуевка муниципального района Нефтегорский (далее по тексту – доходы бюджета) на очередной финансовый год.</w:t>
      </w:r>
      <w:r w:rsidRPr="00CF67DA">
        <w:rPr>
          <w:color w:val="212121"/>
          <w:sz w:val="21"/>
          <w:szCs w:val="21"/>
        </w:rPr>
        <w:br/>
        <w:t>Методика применяется для расчета прогноза доходов бюджета при составлении проекта решения о бюджете сельского поселения Зуевка муниципального района Нефтегорский на очередной финансовый год и на плановый период.</w:t>
      </w:r>
      <w:r w:rsidRPr="00CF67DA">
        <w:rPr>
          <w:color w:val="212121"/>
          <w:sz w:val="21"/>
          <w:szCs w:val="21"/>
        </w:rPr>
        <w:br/>
        <w:t>В основу прогноза доходов бюджета заложены принципы достоверности, полноты и прозрачности.</w:t>
      </w:r>
      <w:r w:rsidRPr="00CF67DA">
        <w:rPr>
          <w:color w:val="212121"/>
          <w:sz w:val="21"/>
          <w:szCs w:val="21"/>
        </w:rPr>
        <w:br/>
        <w:t>2.Общие понятия, термины и сокращения</w:t>
      </w:r>
      <w:r w:rsidRPr="00CF67DA">
        <w:rPr>
          <w:color w:val="212121"/>
          <w:sz w:val="21"/>
          <w:szCs w:val="21"/>
        </w:rPr>
        <w:br/>
        <w:t>В рамках настоящей Методики используются следующие понятия, термины и сокращения:</w:t>
      </w:r>
      <w:r w:rsidRPr="00CF67DA">
        <w:rPr>
          <w:color w:val="212121"/>
          <w:sz w:val="21"/>
          <w:szCs w:val="21"/>
        </w:rPr>
        <w:br/>
        <w:t>ПДi</w:t>
      </w:r>
      <w:r w:rsidRPr="00CF67DA">
        <w:rPr>
          <w:color w:val="212121"/>
          <w:sz w:val="21"/>
          <w:szCs w:val="21"/>
        </w:rPr>
        <w:br/>
        <w:t>– прогноз поступлений доходов в бюджет i-го налога;</w:t>
      </w:r>
      <w:r w:rsidRPr="00CF67DA">
        <w:rPr>
          <w:color w:val="212121"/>
          <w:sz w:val="21"/>
          <w:szCs w:val="21"/>
        </w:rPr>
        <w:br/>
        <w:t>НБ – налоговая база – стоимостная, физическая или иная характеристика объекта налогообложения соответствующего налога;</w:t>
      </w:r>
      <w:r w:rsidRPr="00CF67DA">
        <w:rPr>
          <w:color w:val="212121"/>
          <w:sz w:val="21"/>
          <w:szCs w:val="21"/>
        </w:rPr>
        <w:br/>
        <w:t>Ст – налоговая ставка - величина налоговых начислений на единицу измерения налоговой базы;</w:t>
      </w:r>
      <w:r w:rsidRPr="00CF67DA">
        <w:rPr>
          <w:color w:val="212121"/>
          <w:sz w:val="21"/>
          <w:szCs w:val="21"/>
        </w:rPr>
        <w:br/>
        <w:t>Но – норматив отчислений в бюджет муниципального образования, установленный федеральным законодательством и законодательством Самарской области;</w:t>
      </w:r>
      <w:r w:rsidRPr="00CF67DA">
        <w:rPr>
          <w:color w:val="212121"/>
          <w:sz w:val="21"/>
          <w:szCs w:val="21"/>
        </w:rPr>
        <w:br/>
        <w:t>Пож – ожидаемые поступления доходов за текущий финансовый год;</w:t>
      </w:r>
      <w:r w:rsidRPr="00CF67DA">
        <w:rPr>
          <w:color w:val="212121"/>
          <w:sz w:val="21"/>
          <w:szCs w:val="21"/>
        </w:rPr>
        <w:br/>
        <w:t>Пфакт</w:t>
      </w:r>
      <w:r w:rsidRPr="00CF67DA">
        <w:rPr>
          <w:color w:val="212121"/>
          <w:sz w:val="21"/>
          <w:szCs w:val="21"/>
        </w:rPr>
        <w:br/>
        <w:t>– фактическое поступление доходов за последний отчетный период текущего финансового года;</w:t>
      </w:r>
      <w:r w:rsidRPr="00CF67DA">
        <w:rPr>
          <w:color w:val="212121"/>
          <w:sz w:val="21"/>
          <w:szCs w:val="21"/>
        </w:rPr>
        <w:br/>
        <w:t>Изак – сумма налога, планируемая к поступлению (выпадающая - со знаком «-») с связи с изменением федерального и (или) регионального законодательства в</w:t>
      </w:r>
      <w:r w:rsidRPr="00CF67DA">
        <w:rPr>
          <w:color w:val="212121"/>
          <w:sz w:val="21"/>
          <w:szCs w:val="21"/>
        </w:rPr>
        <w:br/>
        <w:t>Кс – коэффициент собираемости;</w:t>
      </w:r>
      <w:r w:rsidRPr="00CF67DA">
        <w:rPr>
          <w:color w:val="212121"/>
          <w:sz w:val="21"/>
          <w:szCs w:val="21"/>
        </w:rPr>
        <w:br/>
        <w:t>Нд – планируемый объем погашения недоимки прошлых лет;</w:t>
      </w:r>
      <w:r w:rsidRPr="00CF67DA">
        <w:rPr>
          <w:color w:val="212121"/>
          <w:sz w:val="21"/>
          <w:szCs w:val="21"/>
        </w:rPr>
        <w:br/>
        <w:t>ИПЦ – индекс потребительских цен;</w:t>
      </w:r>
      <w:r w:rsidRPr="00CF67DA">
        <w:rPr>
          <w:color w:val="212121"/>
          <w:sz w:val="21"/>
          <w:szCs w:val="21"/>
        </w:rPr>
        <w:br/>
        <w:t>ИД – индексы - дефляторы</w:t>
      </w:r>
      <w:r w:rsidRPr="00CF67DA">
        <w:rPr>
          <w:color w:val="212121"/>
          <w:sz w:val="21"/>
          <w:szCs w:val="21"/>
        </w:rPr>
        <w:br/>
        <w:t>3. Основные положения прогноза доходов бюджета</w:t>
      </w:r>
      <w:r w:rsidRPr="00CF67DA">
        <w:rPr>
          <w:color w:val="212121"/>
          <w:sz w:val="21"/>
          <w:szCs w:val="21"/>
        </w:rPr>
        <w:br/>
        <w:t>3.1. Расчет доходов бюджета производится по каждому доходному источнику.</w:t>
      </w:r>
      <w:r w:rsidRPr="00CF67DA">
        <w:rPr>
          <w:color w:val="212121"/>
          <w:sz w:val="21"/>
          <w:szCs w:val="21"/>
        </w:rPr>
        <w:br/>
        <w:t>3.2. Прогноз доходов бюджета основывается на основных параметрах прогноза социально-экономического развития сельского поселения Зуевка муниципального района Нефтегорский на очередной финансовый год (далее – Прогноз социально-экономического развития).</w:t>
      </w:r>
      <w:r w:rsidRPr="00CF67DA">
        <w:rPr>
          <w:color w:val="212121"/>
          <w:sz w:val="21"/>
          <w:szCs w:val="21"/>
        </w:rPr>
        <w:br/>
        <w:t>При прогнозе доходов учитываются:</w:t>
      </w:r>
      <w:r w:rsidRPr="00CF67DA">
        <w:rPr>
          <w:color w:val="212121"/>
          <w:sz w:val="21"/>
          <w:szCs w:val="21"/>
        </w:rPr>
        <w:br/>
        <w:t>- нормативы отчислений в бюджет муниципального образования от федеральных налогов и сборов, налогов, предусмотренных специальными налоговыми режимами, и региональных налогов, установленные бюджетным законодательством Российской</w:t>
      </w:r>
    </w:p>
    <w:p w:rsidR="00CF67DA" w:rsidRPr="00CF67DA" w:rsidRDefault="00CF67DA" w:rsidP="00CF67DA">
      <w:pPr>
        <w:shd w:val="clear" w:color="auto" w:fill="FFFFFF"/>
        <w:spacing w:after="100" w:afterAutospacing="1" w:line="240" w:lineRule="auto"/>
        <w:ind w:firstLine="0"/>
        <w:rPr>
          <w:color w:val="212121"/>
          <w:sz w:val="21"/>
          <w:szCs w:val="21"/>
        </w:rPr>
      </w:pPr>
      <w:r w:rsidRPr="00CF67DA">
        <w:rPr>
          <w:color w:val="212121"/>
          <w:sz w:val="21"/>
          <w:szCs w:val="21"/>
        </w:rPr>
        <w:t>Федерации;</w:t>
      </w:r>
      <w:r w:rsidRPr="00CF67DA">
        <w:rPr>
          <w:color w:val="212121"/>
          <w:sz w:val="21"/>
          <w:szCs w:val="21"/>
        </w:rPr>
        <w:br/>
        <w:t>-налоговые ставки;</w:t>
      </w:r>
      <w:r w:rsidRPr="00CF67DA">
        <w:rPr>
          <w:color w:val="212121"/>
          <w:sz w:val="21"/>
          <w:szCs w:val="21"/>
        </w:rPr>
        <w:br/>
        <w:t>- оценка результатов изменений налогового и бюджетного законодательства Российской Федерации, предполагающих их вступление в силу с начала очередного финансового года.</w:t>
      </w:r>
      <w:r w:rsidRPr="00CF67DA">
        <w:rPr>
          <w:color w:val="212121"/>
          <w:sz w:val="21"/>
          <w:szCs w:val="21"/>
        </w:rPr>
        <w:br/>
        <w:t>3.3. Сведения, необходимые для прогноза доходов бюджета.</w:t>
      </w:r>
      <w:r w:rsidRPr="00CF67DA">
        <w:rPr>
          <w:color w:val="212121"/>
          <w:sz w:val="21"/>
          <w:szCs w:val="21"/>
        </w:rPr>
        <w:br/>
        <w:t>К сведениям, необходимым для прогноза доходов бюджета, относятся:</w:t>
      </w:r>
      <w:r w:rsidRPr="00CF67DA">
        <w:rPr>
          <w:color w:val="212121"/>
          <w:sz w:val="21"/>
          <w:szCs w:val="21"/>
        </w:rPr>
        <w:br/>
        <w:t>- отчеты УФНС России по Самарской области о налоговой базе и структуре начислений по основным видам налогов;</w:t>
      </w:r>
      <w:r w:rsidRPr="00CF67DA">
        <w:rPr>
          <w:color w:val="212121"/>
          <w:sz w:val="21"/>
          <w:szCs w:val="21"/>
        </w:rPr>
        <w:br/>
        <w:t>- данные Территориального органа Федеральной службы государственной статистики по Самарской области (Самарастат) по отдельным показателям;</w:t>
      </w:r>
      <w:r w:rsidRPr="00CF67DA">
        <w:rPr>
          <w:color w:val="212121"/>
          <w:sz w:val="21"/>
          <w:szCs w:val="21"/>
        </w:rPr>
        <w:br/>
        <w:t>- отчеты об исполнении бюджета сельского поселения Зуевка муниципального района Нефтегорский;</w:t>
      </w:r>
      <w:r w:rsidRPr="00CF67DA">
        <w:rPr>
          <w:color w:val="212121"/>
          <w:sz w:val="21"/>
          <w:szCs w:val="21"/>
        </w:rPr>
        <w:br/>
        <w:t>- данные о фактическом поступлении доходов бюджета по видам налогов в динамике лет и за отчетные периоды текущего финансового года;</w:t>
      </w:r>
      <w:r w:rsidRPr="00CF67DA">
        <w:rPr>
          <w:color w:val="212121"/>
          <w:sz w:val="21"/>
          <w:szCs w:val="21"/>
        </w:rPr>
        <w:br/>
        <w:t>- данные о сумме недоимки по доходам в разрезе основных видов налогов;</w:t>
      </w:r>
      <w:r w:rsidRPr="00CF67DA">
        <w:rPr>
          <w:color w:val="212121"/>
          <w:sz w:val="21"/>
          <w:szCs w:val="21"/>
        </w:rPr>
        <w:br/>
        <w:t>- данные главных администраторов доходов бюджета;</w:t>
      </w:r>
      <w:r w:rsidRPr="00CF67DA">
        <w:rPr>
          <w:color w:val="212121"/>
          <w:sz w:val="21"/>
          <w:szCs w:val="21"/>
        </w:rPr>
        <w:br/>
      </w:r>
      <w:r w:rsidRPr="00CF67DA">
        <w:rPr>
          <w:color w:val="212121"/>
          <w:sz w:val="21"/>
          <w:szCs w:val="21"/>
        </w:rPr>
        <w:lastRenderedPageBreak/>
        <w:t>- расчет ожидаемого поступления доходов в текущем финансовом году.</w:t>
      </w:r>
      <w:r w:rsidRPr="00CF67DA">
        <w:rPr>
          <w:color w:val="212121"/>
          <w:sz w:val="21"/>
          <w:szCs w:val="21"/>
        </w:rPr>
        <w:br/>
        <w:t>- иные сведения, необходимые для расчета доходов бюджета.</w:t>
      </w:r>
      <w:r w:rsidRPr="00CF67DA">
        <w:rPr>
          <w:color w:val="212121"/>
          <w:sz w:val="21"/>
          <w:szCs w:val="21"/>
        </w:rPr>
        <w:br/>
        <w:t>3.4. Методы расчетов, применяемые при прогнозировании доходов бюджета.</w:t>
      </w:r>
      <w:r w:rsidRPr="00CF67DA">
        <w:rPr>
          <w:color w:val="212121"/>
          <w:sz w:val="21"/>
          <w:szCs w:val="21"/>
        </w:rPr>
        <w:br/>
        <w:t>Для прогнозирования доходов бюджета применяются следующие методы расчетов:</w:t>
      </w:r>
      <w:r w:rsidRPr="00CF67DA">
        <w:rPr>
          <w:color w:val="212121"/>
          <w:sz w:val="21"/>
          <w:szCs w:val="21"/>
        </w:rPr>
        <w:br/>
        <w:t>- метод временного тренда. Данный метод может быть применен при условии допущения, что изменение поступления налога в динамике лет сохранится и в периоде, на который составляется прогноз;</w:t>
      </w:r>
      <w:r w:rsidRPr="00CF67DA">
        <w:rPr>
          <w:color w:val="212121"/>
          <w:sz w:val="21"/>
          <w:szCs w:val="21"/>
        </w:rPr>
        <w:br/>
        <w:t>- метод экстраполяции. Применяется для прогнозирования доходов с учетом индексов – дефляторов исходя из ожидаемого поступления доходов за отчетный финансовый год;</w:t>
      </w:r>
      <w:r w:rsidRPr="00CF67DA">
        <w:rPr>
          <w:color w:val="212121"/>
          <w:sz w:val="21"/>
          <w:szCs w:val="21"/>
        </w:rPr>
        <w:br/>
        <w:t>- метод многофакторного прогнозирования. Применяется с учетом макроэкономических показателей и факторов, связанных с изменением бюджетного и налогового законодательства Российской Федерации.</w:t>
      </w:r>
      <w:r w:rsidRPr="00CF67DA">
        <w:rPr>
          <w:color w:val="212121"/>
          <w:sz w:val="21"/>
          <w:szCs w:val="21"/>
        </w:rPr>
        <w:br/>
        <w:t>3.5. Расчет ожидаемого поступления доходов за текущий финансовый год.</w:t>
      </w:r>
      <w:r w:rsidRPr="00CF67DA">
        <w:rPr>
          <w:color w:val="212121"/>
          <w:sz w:val="21"/>
          <w:szCs w:val="21"/>
        </w:rPr>
        <w:br/>
        <w:t>Ожидаемый объем поступлений доходов за текущий финансовый год рассчитывается исходя из фактических поступлений доходов за отчетный период текущего финансового года по данным ежемесячного отчета об исполнении бюджета сельского поселения Зуевка муниципального района Нефтегорский и средней доли аналогичных поступлений налогов в годовых суммах в динамике лет.</w:t>
      </w:r>
      <w:r w:rsidRPr="00CF67DA">
        <w:rPr>
          <w:color w:val="212121"/>
          <w:sz w:val="21"/>
          <w:szCs w:val="21"/>
        </w:rPr>
        <w:br/>
        <w:t>Кроме того, учитывается информация:</w:t>
      </w:r>
      <w:r w:rsidRPr="00CF67DA">
        <w:rPr>
          <w:color w:val="212121"/>
          <w:sz w:val="21"/>
          <w:szCs w:val="21"/>
        </w:rPr>
        <w:br/>
        <w:t>- о перечислении налогов, сборов и платежей, получаемая от главных администраторов доходов бюджета;</w:t>
      </w:r>
      <w:r w:rsidRPr="00CF67DA">
        <w:rPr>
          <w:color w:val="212121"/>
          <w:sz w:val="21"/>
          <w:szCs w:val="21"/>
        </w:rPr>
        <w:br/>
        <w:t>- о сроках уплаты налогов, сборов и платежей, установленных Налоговым кодексом Российской Федерации и иными нормативными правовыми актами.</w:t>
      </w:r>
      <w:r w:rsidRPr="00CF67DA">
        <w:rPr>
          <w:color w:val="212121"/>
          <w:sz w:val="21"/>
          <w:szCs w:val="21"/>
        </w:rPr>
        <w:br/>
        <w:t>3.6. Расчет планируемого объема погашения недоимки.</w:t>
      </w:r>
      <w:r w:rsidRPr="00CF67DA">
        <w:rPr>
          <w:color w:val="212121"/>
          <w:sz w:val="21"/>
          <w:szCs w:val="21"/>
        </w:rPr>
        <w:br/>
        <w:t>Расчет планируемого погашения недоимки осуществляется на основании информации, получаемой в соответствии с Правилами взаимодействия органов государственной власти субъектов Российской Федерации и органов местного самоуправления с территориальными органами федерального органа исполнительной власти, уполномоченного по контролю и надзору в области налогов и сборов, утвержденными Постановлением Правительства Российской Федерации от 12.08.2004 № 410.</w:t>
      </w:r>
      <w:r w:rsidRPr="00CF67DA">
        <w:rPr>
          <w:color w:val="212121"/>
          <w:sz w:val="21"/>
          <w:szCs w:val="21"/>
        </w:rPr>
        <w:br/>
        <w:t>Нд = Ндфакт - Ндбаз</w:t>
      </w:r>
      <w:r w:rsidRPr="00CF67DA">
        <w:rPr>
          <w:color w:val="212121"/>
          <w:sz w:val="21"/>
          <w:szCs w:val="21"/>
        </w:rPr>
        <w:br/>
        <w:t>Ндфакт – фактический размер недоимки на отчетную дату текущего финансового года;</w:t>
      </w:r>
      <w:r w:rsidRPr="00CF67DA">
        <w:rPr>
          <w:color w:val="212121"/>
          <w:sz w:val="21"/>
          <w:szCs w:val="21"/>
        </w:rPr>
        <w:br/>
        <w:t>Ндбаз – фактический размер недоимки на начало текущего финансового года;</w:t>
      </w:r>
      <w:r w:rsidRPr="00CF67DA">
        <w:rPr>
          <w:color w:val="212121"/>
          <w:sz w:val="21"/>
          <w:szCs w:val="21"/>
        </w:rPr>
        <w:br/>
        <w:t>Планируемый объем погашения недоимки включается в расчет прогноза поступления доходов в случае, когда Нд принимает положительное значение.</w:t>
      </w:r>
      <w:r w:rsidRPr="00CF67DA">
        <w:rPr>
          <w:color w:val="212121"/>
          <w:sz w:val="21"/>
          <w:szCs w:val="21"/>
        </w:rPr>
        <w:br/>
        <w:t>3.7. Расчет прогноза налоговой базы.</w:t>
      </w:r>
      <w:r w:rsidRPr="00CF67DA">
        <w:rPr>
          <w:color w:val="212121"/>
          <w:sz w:val="21"/>
          <w:szCs w:val="21"/>
        </w:rPr>
        <w:br/>
        <w:t>Расчет прогноза налоговой базы производится на основе данных отчета налоговых органов формы № 5 «О налоговой базе и структуре начислений» по соответствующему налогу за отчетный год с применением методов, перечисленных в пункте 3.4 настоящей Методики.</w:t>
      </w:r>
      <w:r w:rsidRPr="00CF67DA">
        <w:rPr>
          <w:color w:val="212121"/>
          <w:sz w:val="21"/>
          <w:szCs w:val="21"/>
        </w:rPr>
        <w:br/>
        <w:t>4. Расчет поступлений по отдельным доходным источникам</w:t>
      </w:r>
      <w:r w:rsidRPr="00CF67DA">
        <w:rPr>
          <w:color w:val="212121"/>
          <w:sz w:val="21"/>
          <w:szCs w:val="21"/>
        </w:rPr>
        <w:br/>
        <w:t>4.1. Расчет поступлений по налогу на доходы физических лиц</w:t>
      </w:r>
      <w:r w:rsidRPr="00CF67DA">
        <w:rPr>
          <w:color w:val="212121"/>
          <w:sz w:val="21"/>
          <w:szCs w:val="21"/>
        </w:rPr>
        <w:br/>
        <w:t>Поступления налога на доходы физических лиц рассчитываются в соответствии с главой 23 Налогового кодекса Российской Федерации отдельно по налогу на доходы физических лиц, удерживаемому налоговыми агентами, и по остальным поступлениям по налогу на доходы физических лиц.</w:t>
      </w:r>
      <w:r w:rsidRPr="00CF67DA">
        <w:rPr>
          <w:color w:val="212121"/>
          <w:sz w:val="21"/>
          <w:szCs w:val="21"/>
        </w:rPr>
        <w:br/>
        <w:t>Для расчета используются налоговая отчетность по формам № 5-НДФЛ «О налоговой базе и структуре начислений по налогу на доходы физических лиц, удерживаемому налоговыми агентами» и № 5-ДДК «Отчет о декларировании доходов физическими лицами» за отчетный год, а также сведения, перечисленные в пункте 3.3 настоящей Методики.</w:t>
      </w:r>
      <w:r w:rsidRPr="00CF67DA">
        <w:rPr>
          <w:color w:val="212121"/>
          <w:sz w:val="21"/>
          <w:szCs w:val="21"/>
        </w:rPr>
        <w:br/>
        <w:t>При расчете применяются методы, перечисленные в пункте 3.4 настоящей Методики.</w:t>
      </w:r>
      <w:r w:rsidRPr="00CF67DA">
        <w:rPr>
          <w:color w:val="212121"/>
          <w:sz w:val="21"/>
          <w:szCs w:val="21"/>
        </w:rPr>
        <w:br/>
        <w:t>Прогноз поступлений по налогу на доходы физических лиц осуществляется с учетом утвержденного законодательством Самарской области норматива зачисления в бюджет муниципального образования.</w:t>
      </w:r>
      <w:r w:rsidRPr="00CF67DA">
        <w:rPr>
          <w:color w:val="212121"/>
          <w:sz w:val="21"/>
          <w:szCs w:val="21"/>
        </w:rPr>
        <w:br/>
        <w:t>Расчет прогнозируемого объема доходов по налогу на доходы физических лиц, удерживаемому налоговыми агентами, осуществляется по формуле:</w:t>
      </w:r>
      <w:r w:rsidRPr="00CF67DA">
        <w:rPr>
          <w:color w:val="212121"/>
          <w:sz w:val="21"/>
          <w:szCs w:val="21"/>
        </w:rPr>
        <w:br/>
        <w:t>ПДндфл = (НБож +/- Изак) х ИД x Ст x Но,</w:t>
      </w:r>
      <w:r w:rsidRPr="00CF67DA">
        <w:rPr>
          <w:color w:val="212121"/>
          <w:sz w:val="21"/>
          <w:szCs w:val="21"/>
        </w:rPr>
        <w:br/>
        <w:t>Прогноз налога на доходы физических лиц с доходов, полученных физическими лицами, зарегистрированными в качестве индивидуальных предпринимателей, частных нотариусов и других лиц, занимающихся частной практикой, по остальным поступлениям по налогу на доходы физических лиц рассчитывается по следующей формуле:</w:t>
      </w:r>
    </w:p>
    <w:p w:rsidR="00CF67DA" w:rsidRPr="00CF67DA" w:rsidRDefault="00CF67DA" w:rsidP="00CF67DA">
      <w:pPr>
        <w:shd w:val="clear" w:color="auto" w:fill="FFFFFF"/>
        <w:spacing w:after="100" w:afterAutospacing="1" w:line="240" w:lineRule="auto"/>
        <w:ind w:firstLine="0"/>
        <w:rPr>
          <w:color w:val="212121"/>
          <w:sz w:val="21"/>
          <w:szCs w:val="21"/>
        </w:rPr>
      </w:pPr>
      <w:r w:rsidRPr="00CF67DA">
        <w:rPr>
          <w:color w:val="212121"/>
          <w:sz w:val="21"/>
          <w:szCs w:val="21"/>
        </w:rPr>
        <w:t>ПДндфл = (НБож x ИПЦ) x Ст х Но.</w:t>
      </w:r>
    </w:p>
    <w:p w:rsidR="00CF67DA" w:rsidRPr="00CF67DA" w:rsidRDefault="00CF67DA" w:rsidP="00CF67DA">
      <w:pPr>
        <w:shd w:val="clear" w:color="auto" w:fill="FFFFFF"/>
        <w:spacing w:after="100" w:afterAutospacing="1" w:line="240" w:lineRule="auto"/>
        <w:ind w:firstLine="0"/>
        <w:rPr>
          <w:color w:val="212121"/>
          <w:sz w:val="21"/>
          <w:szCs w:val="21"/>
        </w:rPr>
      </w:pPr>
      <w:r w:rsidRPr="00CF67DA">
        <w:rPr>
          <w:color w:val="212121"/>
          <w:sz w:val="21"/>
          <w:szCs w:val="21"/>
        </w:rPr>
        <w:lastRenderedPageBreak/>
        <w:t>Общий прогнозируемый объем поступлений в бюджет по налогу на доходы физических лиц определяется как сумма прогнозных поступлений каждого вида налога на доходы физических лиц.</w:t>
      </w:r>
    </w:p>
    <w:p w:rsidR="00CF67DA" w:rsidRPr="00CF67DA" w:rsidRDefault="00CF67DA" w:rsidP="00CF67DA">
      <w:pPr>
        <w:shd w:val="clear" w:color="auto" w:fill="FFFFFF"/>
        <w:spacing w:after="100" w:afterAutospacing="1" w:line="240" w:lineRule="auto"/>
        <w:ind w:firstLine="0"/>
        <w:rPr>
          <w:color w:val="212121"/>
          <w:sz w:val="21"/>
          <w:szCs w:val="21"/>
        </w:rPr>
      </w:pPr>
      <w:r w:rsidRPr="00CF67DA">
        <w:rPr>
          <w:color w:val="212121"/>
          <w:sz w:val="21"/>
          <w:szCs w:val="21"/>
        </w:rPr>
        <w:t>4.2. Расчет поступлений по налогу на имущество физических лиц</w:t>
      </w:r>
    </w:p>
    <w:p w:rsidR="00CF67DA" w:rsidRPr="00CF67DA" w:rsidRDefault="00CF67DA" w:rsidP="00CF67DA">
      <w:pPr>
        <w:shd w:val="clear" w:color="auto" w:fill="FFFFFF"/>
        <w:spacing w:after="100" w:afterAutospacing="1" w:line="240" w:lineRule="auto"/>
        <w:ind w:firstLine="0"/>
        <w:rPr>
          <w:color w:val="212121"/>
          <w:sz w:val="21"/>
          <w:szCs w:val="21"/>
        </w:rPr>
      </w:pPr>
      <w:r w:rsidRPr="00CF67DA">
        <w:rPr>
          <w:color w:val="212121"/>
          <w:sz w:val="21"/>
          <w:szCs w:val="21"/>
        </w:rPr>
        <w:t>Налог на имущество физических лиц взимается в соответствии с Законом Российской Федерации от 09.12.1991 № 2003-1 «О налогах на имущество физических лиц» (с учетом изменений) на основании данных об инвентаризационной стоимости имущества, признаваемого объектом налогообложения (жилые дома, квартиры, дачи, гаражи и иные строения, помещения и сооружения), и ставок налога на строения, помещения и сооружения, установленных нормативным правовым актом представительного органа сельского поселения Зуевка в зависимости от суммарной инвентаризационной стоимости, типа использования и иных критериев, в пределах ставок, установленных Законом Российской Федерации от 09.12.1991 № 2003-1 «О налогах на имущество физических лиц».</w:t>
      </w:r>
      <w:r w:rsidRPr="00CF67DA">
        <w:rPr>
          <w:color w:val="212121"/>
          <w:sz w:val="21"/>
          <w:szCs w:val="21"/>
        </w:rPr>
        <w:br/>
      </w:r>
      <w:r w:rsidRPr="00CF67DA">
        <w:rPr>
          <w:color w:val="212121"/>
          <w:sz w:val="21"/>
          <w:szCs w:val="21"/>
        </w:rPr>
        <w:br/>
        <w:t>Расчет налога на имущество физических лиц производится по следующей формуле:</w:t>
      </w:r>
    </w:p>
    <w:p w:rsidR="00CF67DA" w:rsidRPr="00CF67DA" w:rsidRDefault="00CF67DA" w:rsidP="00CF67DA">
      <w:pPr>
        <w:shd w:val="clear" w:color="auto" w:fill="FFFFFF"/>
        <w:spacing w:after="100" w:afterAutospacing="1" w:line="240" w:lineRule="auto"/>
        <w:ind w:firstLine="0"/>
        <w:rPr>
          <w:color w:val="212121"/>
          <w:sz w:val="21"/>
          <w:szCs w:val="21"/>
        </w:rPr>
      </w:pPr>
      <w:r w:rsidRPr="00CF67DA">
        <w:rPr>
          <w:color w:val="212121"/>
          <w:sz w:val="21"/>
          <w:szCs w:val="21"/>
        </w:rPr>
        <w:t>Нфл = ОПНфл х i + Д</w:t>
      </w:r>
      <w:r w:rsidRPr="00CF67DA">
        <w:rPr>
          <w:color w:val="212121"/>
          <w:sz w:val="21"/>
          <w:szCs w:val="21"/>
        </w:rPr>
        <w:br/>
        <w:t>где:</w:t>
      </w:r>
      <w:r w:rsidRPr="00CF67DA">
        <w:rPr>
          <w:color w:val="212121"/>
          <w:sz w:val="21"/>
          <w:szCs w:val="21"/>
        </w:rPr>
        <w:br/>
        <w:t>Нфл - прогнозируемая сумма налога на имущество физических лиц;</w:t>
      </w:r>
      <w:r w:rsidRPr="00CF67DA">
        <w:rPr>
          <w:color w:val="212121"/>
          <w:sz w:val="21"/>
          <w:szCs w:val="21"/>
        </w:rPr>
        <w:br/>
        <w:t>ОПНфл – ожидаемое поступление налога на имущество физических лиц за текущий год в бюджет сельского поселения;</w:t>
      </w:r>
      <w:r w:rsidRPr="00CF67DA">
        <w:rPr>
          <w:color w:val="212121"/>
          <w:sz w:val="21"/>
          <w:szCs w:val="21"/>
        </w:rPr>
        <w:br/>
        <w:t>i – коэффициент, характеризующий динамику макроэкономических показателей в прогнозируемом году по сравнению с текущим годом;</w:t>
      </w:r>
      <w:r w:rsidRPr="00CF67DA">
        <w:rPr>
          <w:color w:val="212121"/>
          <w:sz w:val="21"/>
          <w:szCs w:val="21"/>
        </w:rPr>
        <w:br/>
        <w:t>Д – дополнительные (+) или выпадающие (-) доходы, связанные с изменениями налогового и (или) бюджетного законодательства, взысканием задолженности, предоставлением дополнительных (сокращением установленных) льгот, изменением количества и инвентаризационной стоимости имущества, находящегося в собственности физических лиц, и иные аналогичные доходы.</w:t>
      </w:r>
      <w:r w:rsidRPr="00CF67DA">
        <w:rPr>
          <w:color w:val="212121"/>
          <w:sz w:val="21"/>
          <w:szCs w:val="21"/>
        </w:rPr>
        <w:br/>
      </w:r>
      <w:r w:rsidRPr="00CF67DA">
        <w:rPr>
          <w:color w:val="212121"/>
          <w:sz w:val="21"/>
          <w:szCs w:val="21"/>
        </w:rPr>
        <w:br/>
        <w:t>4.3. Расчет по земельному налогу</w:t>
      </w:r>
      <w:r w:rsidRPr="00CF67DA">
        <w:rPr>
          <w:color w:val="212121"/>
          <w:sz w:val="21"/>
          <w:szCs w:val="21"/>
        </w:rPr>
        <w:br/>
      </w:r>
      <w:r w:rsidRPr="00CF67DA">
        <w:rPr>
          <w:color w:val="212121"/>
          <w:sz w:val="21"/>
          <w:szCs w:val="21"/>
        </w:rPr>
        <w:br/>
        <w:t>Прогнозируемый объем поступлений земельного налога в бюджет сельского поселения на очередной финансовый год рассчитывается по формуле:</w:t>
      </w:r>
      <w:r w:rsidRPr="00CF67DA">
        <w:rPr>
          <w:color w:val="212121"/>
          <w:sz w:val="21"/>
          <w:szCs w:val="21"/>
        </w:rPr>
        <w:br/>
      </w:r>
      <w:r w:rsidRPr="00CF67DA">
        <w:rPr>
          <w:color w:val="212121"/>
          <w:sz w:val="21"/>
          <w:szCs w:val="21"/>
        </w:rPr>
        <w:br/>
        <w:t>Нзем = ОПНзем х i + Д</w:t>
      </w:r>
      <w:r w:rsidRPr="00CF67DA">
        <w:rPr>
          <w:color w:val="212121"/>
          <w:sz w:val="21"/>
          <w:szCs w:val="21"/>
        </w:rPr>
        <w:br/>
        <w:t>где:</w:t>
      </w:r>
      <w:r w:rsidRPr="00CF67DA">
        <w:rPr>
          <w:color w:val="212121"/>
          <w:sz w:val="21"/>
          <w:szCs w:val="21"/>
        </w:rPr>
        <w:br/>
        <w:t>Нфзем - прогнозируемая сумма земельного налога;</w:t>
      </w:r>
      <w:r w:rsidRPr="00CF67DA">
        <w:rPr>
          <w:color w:val="212121"/>
          <w:sz w:val="21"/>
          <w:szCs w:val="21"/>
        </w:rPr>
        <w:br/>
        <w:t>ОПНзем – ожидаемое поступление земельного налога за текущий год в бюджет сельского поселения;</w:t>
      </w:r>
      <w:r w:rsidRPr="00CF67DA">
        <w:rPr>
          <w:color w:val="212121"/>
          <w:sz w:val="21"/>
          <w:szCs w:val="21"/>
        </w:rPr>
        <w:br/>
        <w:t>i – коэффициент, характеризующий динамику макроэкономических показателей в прогнозируемом году по сравнению с текущим годом;</w:t>
      </w:r>
      <w:r w:rsidRPr="00CF67DA">
        <w:rPr>
          <w:color w:val="212121"/>
          <w:sz w:val="21"/>
          <w:szCs w:val="21"/>
        </w:rPr>
        <w:br/>
        <w:t>Д – дополнительные (+) или выпадающие (-) доходы, связанные с изменениями налогового и (или) бюджетного законодательства, взысканием задолженности, предоставлением дополнительных (сокращением установленных) льгот, увеличением объектов налогообложения и иные аналогичные доходы.</w:t>
      </w:r>
    </w:p>
    <w:p w:rsidR="00CF67DA" w:rsidRPr="00CF67DA" w:rsidRDefault="00CF67DA" w:rsidP="00CF67DA">
      <w:pPr>
        <w:shd w:val="clear" w:color="auto" w:fill="FFFFFF"/>
        <w:spacing w:after="100" w:afterAutospacing="1" w:line="240" w:lineRule="auto"/>
        <w:ind w:firstLine="0"/>
        <w:rPr>
          <w:color w:val="212121"/>
          <w:sz w:val="21"/>
          <w:szCs w:val="21"/>
        </w:rPr>
      </w:pPr>
      <w:r w:rsidRPr="00CF67DA">
        <w:rPr>
          <w:color w:val="212121"/>
          <w:sz w:val="21"/>
          <w:szCs w:val="21"/>
        </w:rPr>
        <w:t>4.4. Расчет поступлений по остальным доходам</w:t>
      </w:r>
      <w:r w:rsidRPr="00CF67DA">
        <w:rPr>
          <w:color w:val="212121"/>
          <w:sz w:val="21"/>
          <w:szCs w:val="21"/>
        </w:rPr>
        <w:br/>
        <w:t>Расчет поступлений неналоговых доходов рассчитывается исходя из ожидаемого поступления доходов в текущем году и прогноза, представляемого главными администраторами доходов.</w:t>
      </w:r>
      <w:r w:rsidRPr="00CF67DA">
        <w:rPr>
          <w:color w:val="212121"/>
          <w:sz w:val="21"/>
          <w:szCs w:val="21"/>
        </w:rPr>
        <w:br/>
        <w:t>При расчете прогноза главные администраторы прогнозов учитывают:</w:t>
      </w:r>
      <w:r w:rsidRPr="00CF67DA">
        <w:rPr>
          <w:color w:val="212121"/>
          <w:sz w:val="21"/>
          <w:szCs w:val="21"/>
        </w:rPr>
        <w:br/>
        <w:t>- ожидаемое поступление в текущем финансовом году;</w:t>
      </w:r>
      <w:r w:rsidRPr="00CF67DA">
        <w:rPr>
          <w:color w:val="212121"/>
          <w:sz w:val="21"/>
          <w:szCs w:val="21"/>
        </w:rPr>
        <w:br/>
        <w:t>- индексы-дефляторы;</w:t>
      </w:r>
      <w:r w:rsidRPr="00CF67DA">
        <w:rPr>
          <w:color w:val="212121"/>
          <w:sz w:val="21"/>
          <w:szCs w:val="21"/>
        </w:rPr>
        <w:br/>
        <w:t>- динамику поступления за три года, предшествующие планируемому;</w:t>
      </w:r>
      <w:r w:rsidRPr="00CF67DA">
        <w:rPr>
          <w:color w:val="212121"/>
          <w:sz w:val="21"/>
          <w:szCs w:val="21"/>
        </w:rPr>
        <w:br/>
        <w:t>- изменение в планируемом году договоров, в соответствии с которыми исчисляется ряд неналоговых доходов;</w:t>
      </w:r>
      <w:r w:rsidRPr="00CF67DA">
        <w:rPr>
          <w:color w:val="212121"/>
          <w:sz w:val="21"/>
          <w:szCs w:val="21"/>
        </w:rPr>
        <w:br/>
        <w:t>- другие факторы.</w:t>
      </w:r>
      <w:r w:rsidRPr="00CF67DA">
        <w:rPr>
          <w:color w:val="212121"/>
          <w:sz w:val="21"/>
          <w:szCs w:val="21"/>
        </w:rPr>
        <w:br/>
        <w:t>При расчете применяются методы, перечисленные в пункте 3.4 настоящей Методики.</w:t>
      </w:r>
      <w:r w:rsidRPr="00CF67DA">
        <w:rPr>
          <w:color w:val="212121"/>
          <w:sz w:val="21"/>
          <w:szCs w:val="21"/>
        </w:rPr>
        <w:br/>
        <w:t>Расчет поступлений госпошлины, штрафов, санкций и возмещения ущерба, доходов от оказания платных услуг и компенсации затрат бюджетов, прочих неналоговых доходов осуществляется исходя из ожидаемого поступления в текущем году с учетом изменения законодательства, коэффициентов индексации и динамики поступления доходов.</w:t>
      </w:r>
      <w:r w:rsidRPr="00CF67DA">
        <w:rPr>
          <w:color w:val="212121"/>
          <w:sz w:val="21"/>
          <w:szCs w:val="21"/>
        </w:rPr>
        <w:br/>
      </w:r>
      <w:r w:rsidRPr="00CF67DA">
        <w:rPr>
          <w:color w:val="212121"/>
          <w:sz w:val="21"/>
          <w:szCs w:val="21"/>
        </w:rPr>
        <w:lastRenderedPageBreak/>
        <w:t>Расчет осуществляется отдельно по каждому виду налоговых и неналоговых поступлений на основании федерального законодательства, законодательства Самарской области, а также нормативных правовых актов органов местного самоуправления сельского поселения Зуевка муниципального района Нефтегорский, планов приватизации.</w:t>
      </w:r>
      <w:r w:rsidRPr="00CF67DA">
        <w:rPr>
          <w:color w:val="212121"/>
          <w:sz w:val="21"/>
          <w:szCs w:val="21"/>
        </w:rPr>
        <w:br/>
        <w:t>Прогноз по данным видам доходов корректируется на поступления, имеющие нестабильный (разовый) характер.</w:t>
      </w:r>
    </w:p>
    <w:p w:rsidR="003E0016" w:rsidRDefault="003E0016">
      <w:bookmarkStart w:id="0" w:name="_GoBack"/>
      <w:bookmarkEnd w:id="0"/>
    </w:p>
    <w:sectPr w:rsidR="003E001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77BF"/>
    <w:rsid w:val="003E0016"/>
    <w:rsid w:val="00CF67DA"/>
    <w:rsid w:val="00E577BF"/>
    <w:rsid w:val="00F549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4BB90E-E6DB-471D-995B-AF608647D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492E"/>
    <w:pPr>
      <w:spacing w:after="0" w:line="360" w:lineRule="auto"/>
      <w:ind w:firstLine="709"/>
    </w:pPr>
    <w:rPr>
      <w:rFonts w:ascii="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F67DA"/>
    <w:pPr>
      <w:spacing w:before="100" w:beforeAutospacing="1" w:after="100" w:afterAutospacing="1" w:line="240" w:lineRule="auto"/>
      <w:ind w:firstLine="0"/>
    </w:pPr>
    <w:rPr>
      <w:sz w:val="24"/>
    </w:rPr>
  </w:style>
  <w:style w:type="character" w:styleId="a4">
    <w:name w:val="Strong"/>
    <w:basedOn w:val="a0"/>
    <w:uiPriority w:val="22"/>
    <w:qFormat/>
    <w:rsid w:val="00CF67D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276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1924</Words>
  <Characters>10971</Characters>
  <Application>Microsoft Office Word</Application>
  <DocSecurity>0</DocSecurity>
  <Lines>91</Lines>
  <Paragraphs>25</Paragraphs>
  <ScaleCrop>false</ScaleCrop>
  <Company>diakov.net</Company>
  <LinksUpToDate>false</LinksUpToDate>
  <CharactersWithSpaces>12870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2</cp:revision>
  <dcterms:created xsi:type="dcterms:W3CDTF">2021-01-21T13:33:00Z</dcterms:created>
  <dcterms:modified xsi:type="dcterms:W3CDTF">2021-01-21T13:33:00Z</dcterms:modified>
</cp:coreProperties>
</file>