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А Д М И Н И С Т Р А Ц И Я</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СЕЛЬСКОГО ПОСЕЛЕНИЯ ЗУЕВКА</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МУНИЦИПАЛЬНОГО РАЙОНА НЕФТЕГОРСКИЙ</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САМАРСКОЙ ОБЛАСТИ</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_____________________________________________________________</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ПОСТАНОВЛЕНИЕ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от 03.12.2018 г.                                                                                                                  № 132</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Об  утверждении нормативов финансовых затрат на капитальный ремонт,  ремонт и</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содержание автомобильных дорог местного  значения  и  правил   расчета   размера</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ассигнований  местного  бюджета  на  указанные цели</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В соответствии с Федеральными законами от 10.12.1995 № 196-ФЗ «О безопасности дорожного движения»,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Администрация сельского поселения Зуевка</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ПОСТАНОВЛЯЕТ:</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1.                      Установить нормативы финансовых затрат на капитальный ремонт, ремонт и содержание автомобильных дорог местного значения, относящихся к муниципальной собственности сельского поселения Зуевка муниципального района Нефтегорский Самарской области, в следующих размерах:</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1.1                  Капитальный ремонт 1 кв.м дороги -  1 200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1.2                  Ремонт 1 кв.м дороги  - 900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1.3                  Содержание 1 км дороги  - 6 000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2.                      Утвердить </w:t>
      </w:r>
      <w:hyperlink r:id="rId4" w:anchor="Par47" w:history="1">
        <w:r w:rsidRPr="002F7F03">
          <w:rPr>
            <w:color w:val="0263B2"/>
            <w:sz w:val="21"/>
            <w:szCs w:val="21"/>
            <w:u w:val="single"/>
          </w:rPr>
          <w:t>Правила</w:t>
        </w:r>
      </w:hyperlink>
      <w:r w:rsidRPr="002F7F03">
        <w:rPr>
          <w:color w:val="212121"/>
          <w:sz w:val="21"/>
          <w:szCs w:val="21"/>
        </w:rPr>
        <w:t> расчета ассигнований на капитальный ремонт, ремонт и содержание автомобильных дорог местного значения, относящихся к муниципальной собственности сельского поселения Зуевка муниципального района Нефтегорский Самарской области согласно приложению.</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3.                      Настоящее постановление вступает в силу после его официального опубликования и распространяется на правоотношения, возникшие с 01 января 2019 года.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lastRenderedPageBreak/>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6"/>
        <w:gridCol w:w="1253"/>
        <w:gridCol w:w="1751"/>
        <w:gridCol w:w="1760"/>
        <w:gridCol w:w="1260"/>
      </w:tblGrid>
      <w:tr w:rsidR="002F7F03" w:rsidRPr="002F7F03" w:rsidTr="002F7F03">
        <w:tc>
          <w:tcPr>
            <w:tcW w:w="0" w:type="auto"/>
            <w:shd w:val="clear" w:color="auto" w:fill="FFFFFF"/>
            <w:vAlign w:val="center"/>
            <w:hideMark/>
          </w:tcPr>
          <w:p w:rsidR="002F7F03" w:rsidRPr="002F7F03" w:rsidRDefault="002F7F03" w:rsidP="002F7F03">
            <w:pPr>
              <w:spacing w:line="240" w:lineRule="auto"/>
              <w:ind w:firstLine="0"/>
              <w:rPr>
                <w:color w:val="212121"/>
                <w:sz w:val="21"/>
                <w:szCs w:val="21"/>
              </w:rPr>
            </w:pPr>
          </w:p>
        </w:tc>
        <w:tc>
          <w:tcPr>
            <w:tcW w:w="0" w:type="auto"/>
            <w:gridSpan w:val="2"/>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Глава</w:t>
            </w:r>
          </w:p>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сельского поселения Зуевка</w:t>
            </w:r>
          </w:p>
        </w:tc>
        <w:tc>
          <w:tcPr>
            <w:tcW w:w="0" w:type="auto"/>
            <w:gridSpan w:val="2"/>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М.А.Решетов</w:t>
            </w:r>
          </w:p>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tc>
      </w:tr>
      <w:tr w:rsidR="002F7F03" w:rsidRPr="002F7F03" w:rsidTr="002F7F03">
        <w:tc>
          <w:tcPr>
            <w:tcW w:w="0" w:type="auto"/>
            <w:gridSpan w:val="2"/>
            <w:shd w:val="clear" w:color="auto" w:fill="FFFFFF"/>
            <w:vAlign w:val="center"/>
            <w:hideMark/>
          </w:tcPr>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tc>
        <w:tc>
          <w:tcPr>
            <w:tcW w:w="0" w:type="auto"/>
            <w:gridSpan w:val="2"/>
            <w:shd w:val="clear" w:color="auto" w:fill="FFFFFF"/>
            <w:vAlign w:val="center"/>
            <w:hideMark/>
          </w:tcPr>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Приложение</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к постановлению Администрации</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сельского поселения Зуевка</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муниципального района Нефтегорский</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Самарской области</w:t>
            </w:r>
          </w:p>
          <w:p w:rsidR="002F7F03" w:rsidRPr="002F7F03" w:rsidRDefault="002F7F03" w:rsidP="002F7F03">
            <w:pPr>
              <w:spacing w:after="100" w:afterAutospacing="1" w:line="240" w:lineRule="auto"/>
              <w:ind w:firstLine="0"/>
              <w:jc w:val="right"/>
              <w:rPr>
                <w:color w:val="212121"/>
                <w:sz w:val="21"/>
                <w:szCs w:val="21"/>
              </w:rPr>
            </w:pPr>
            <w:r w:rsidRPr="002F7F03">
              <w:rPr>
                <w:color w:val="212121"/>
                <w:sz w:val="21"/>
                <w:szCs w:val="21"/>
              </w:rPr>
              <w:t>от 03.12.2018 г. № 132</w:t>
            </w:r>
          </w:p>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 </w:t>
            </w:r>
          </w:p>
        </w:tc>
        <w:tc>
          <w:tcPr>
            <w:tcW w:w="0" w:type="auto"/>
            <w:shd w:val="clear" w:color="auto" w:fill="FFFFFF"/>
            <w:vAlign w:val="center"/>
            <w:hideMark/>
          </w:tcPr>
          <w:p w:rsidR="002F7F03" w:rsidRPr="002F7F03" w:rsidRDefault="002F7F03" w:rsidP="002F7F03">
            <w:pPr>
              <w:spacing w:line="240" w:lineRule="auto"/>
              <w:ind w:firstLine="0"/>
              <w:rPr>
                <w:color w:val="212121"/>
                <w:sz w:val="21"/>
                <w:szCs w:val="21"/>
              </w:rPr>
            </w:pPr>
          </w:p>
        </w:tc>
      </w:tr>
      <w:tr w:rsidR="002F7F03" w:rsidRPr="002F7F03" w:rsidTr="002F7F03">
        <w:tc>
          <w:tcPr>
            <w:tcW w:w="0" w:type="auto"/>
            <w:shd w:val="clear" w:color="auto" w:fill="FFFFFF"/>
            <w:vAlign w:val="center"/>
            <w:hideMark/>
          </w:tcPr>
          <w:p w:rsidR="002F7F03" w:rsidRPr="002F7F03" w:rsidRDefault="002F7F03" w:rsidP="002F7F03">
            <w:pPr>
              <w:spacing w:line="240" w:lineRule="auto"/>
              <w:ind w:firstLine="0"/>
              <w:rPr>
                <w:sz w:val="20"/>
                <w:szCs w:val="20"/>
              </w:rPr>
            </w:pPr>
          </w:p>
        </w:tc>
        <w:tc>
          <w:tcPr>
            <w:tcW w:w="0" w:type="auto"/>
            <w:shd w:val="clear" w:color="auto" w:fill="FFFFFF"/>
            <w:vAlign w:val="center"/>
            <w:hideMark/>
          </w:tcPr>
          <w:p w:rsidR="002F7F03" w:rsidRPr="002F7F03" w:rsidRDefault="002F7F03" w:rsidP="002F7F03">
            <w:pPr>
              <w:spacing w:line="240" w:lineRule="auto"/>
              <w:ind w:firstLine="0"/>
              <w:rPr>
                <w:sz w:val="20"/>
                <w:szCs w:val="20"/>
              </w:rPr>
            </w:pPr>
          </w:p>
        </w:tc>
        <w:tc>
          <w:tcPr>
            <w:tcW w:w="0" w:type="auto"/>
            <w:shd w:val="clear" w:color="auto" w:fill="FFFFFF"/>
            <w:vAlign w:val="center"/>
            <w:hideMark/>
          </w:tcPr>
          <w:p w:rsidR="002F7F03" w:rsidRPr="002F7F03" w:rsidRDefault="002F7F03" w:rsidP="002F7F03">
            <w:pPr>
              <w:spacing w:line="240" w:lineRule="auto"/>
              <w:ind w:firstLine="0"/>
              <w:rPr>
                <w:sz w:val="20"/>
                <w:szCs w:val="20"/>
              </w:rPr>
            </w:pPr>
          </w:p>
        </w:tc>
        <w:tc>
          <w:tcPr>
            <w:tcW w:w="0" w:type="auto"/>
            <w:shd w:val="clear" w:color="auto" w:fill="FFFFFF"/>
            <w:vAlign w:val="center"/>
            <w:hideMark/>
          </w:tcPr>
          <w:p w:rsidR="002F7F03" w:rsidRPr="002F7F03" w:rsidRDefault="002F7F03" w:rsidP="002F7F03">
            <w:pPr>
              <w:spacing w:line="240" w:lineRule="auto"/>
              <w:ind w:firstLine="0"/>
              <w:rPr>
                <w:sz w:val="20"/>
                <w:szCs w:val="20"/>
              </w:rPr>
            </w:pPr>
          </w:p>
        </w:tc>
        <w:tc>
          <w:tcPr>
            <w:tcW w:w="0" w:type="auto"/>
            <w:shd w:val="clear" w:color="auto" w:fill="FFFFFF"/>
            <w:vAlign w:val="center"/>
            <w:hideMark/>
          </w:tcPr>
          <w:p w:rsidR="002F7F03" w:rsidRPr="002F7F03" w:rsidRDefault="002F7F03" w:rsidP="002F7F03">
            <w:pPr>
              <w:spacing w:line="240" w:lineRule="auto"/>
              <w:ind w:firstLine="0"/>
              <w:rPr>
                <w:sz w:val="20"/>
                <w:szCs w:val="20"/>
              </w:rPr>
            </w:pPr>
          </w:p>
        </w:tc>
      </w:tr>
    </w:tbl>
    <w:p w:rsidR="002F7F03" w:rsidRPr="002F7F03" w:rsidRDefault="002F7F03" w:rsidP="002F7F03">
      <w:pPr>
        <w:shd w:val="clear" w:color="auto" w:fill="FFFFFF"/>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right"/>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ПРАВИЛА</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расчета размера ассигнований на капитальный ремонт, ремонт и содержание автомобильных дорог местного значения, относящихся к муниципальной собственности сельского поселения Зуевка</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муниципального района Нефтегорский Самарской области</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lastRenderedPageBreak/>
        <w:t>1.Нормативы финансовых затрат применяются для определения размера ассигнований из местного бюджета, предусматриваемых на капитальный ремонт, ремонт и содержание автомобильных дорог местного значения.</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2. В зависимости от категории автомобильной дороги местного значения и индекса-дефлятора на соответствующий год применительно к каждой автомобильной дороге местного значения определяются следующие приведенные нормативы: Н прив. кап. рем., Н прив. рем., Н прив. сод., рассчитываемые по формуле: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Н прив. = Н x К деф. x К кат.,</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где: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Н - установленный норматив финансовых затрат на содержание, ремонт и капитальный ремонт автомобильных дорог местного значения;</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К деф. - индекс-дефлятор изменения капитальных вложений (инвестиций), рекомендуемый Министерством экономического развития Российской Федерации для разработки первого этапа ежегодного прогноза;</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К кат. - коэффициент, учитывающий дифференциацию стоимости работ по содержанию, ремонту и капитальному ремонту автомобильных дорог местного значения по соответствующим категориям согласно таблице 1.</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Таблица 1</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3198"/>
        <w:gridCol w:w="425"/>
        <w:gridCol w:w="425"/>
        <w:gridCol w:w="424"/>
        <w:gridCol w:w="424"/>
        <w:gridCol w:w="175"/>
      </w:tblGrid>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tc>
        <w:tc>
          <w:tcPr>
            <w:tcW w:w="0" w:type="auto"/>
            <w:gridSpan w:val="5"/>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Категория автодорог</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III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IV</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V</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Содержание дорог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2,03</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1,28</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1,14</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1,05</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Ремонт дорог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2,91</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1,52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1,46</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1,37</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Капитальный ремонт дорог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3,67</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1,82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1,66</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1,46</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w:t>
            </w:r>
          </w:p>
        </w:tc>
      </w:tr>
    </w:tbl>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3.                      Определение размера ассигнований из местного бюджета на капитальный ремонт и ремонт автомобильных дорог местного значения осуществляется по формулам:</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А кап. рем. = Н прив. кап. рем. x L кап. рем.,</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где: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А кап. рем. - размер ассигнований из местного бюджета на выполнение работ по капитальному ремонту автомобильных дорог каждой категории (тыс.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Н прив. кап. рем. - приведенный норматив финансовых затрат на работы по капитальному ремонту автомобильных дорог каждой категории (тыс. рублей/км);</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L кап. рем. - расчетная протяженность автомобильных дорог местного значения каждой категории, подлежащих капитальному ремонту на год планирования;</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А рем. = Н прив. рем. x L рем.,</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где: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lastRenderedPageBreak/>
        <w:t>А рем. - размер ассигнований из местного бюджета на выполнение работ по ремонту автомобильных дорог каждой категории (тыс.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Н прив. рем. - приведенный норматив финансовых затрат на работы по ремонту автомобильных дорог каждой категории (тыс. рублей/км);</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L рем. - расчетная протяженность автомобильных дорог местного значения каждой категории, подлежащих ремонту на год планирования.</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Общая потребность в ассигнованиях из местного бюджета на выполнение работ по капитальному ремонту и ремонту автомобильных дорог определяется как сумма ассигнований на выполнение работ по всем категориям автомобильных дорог.</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4.                      Расчет размера ассигнований из местного бюджета на содержание автомобильных дорог местного значения осуществляется по формуле:</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А сод. = Н прив. сод. x L,</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где:       </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А сод. - размер ассигнований из местного бюджета на выполнение работ по содержанию автомобильных дорог каждой категории (тыс. рублей);</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Н прив. сод. - приведенный норматив финансовых затрат на работы по содержанию автомобильных дорог каждой категории (тыс. рублей/км);</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L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Общая потребность ассигнований из местного бюджета на выполнение работ по содержанию автомобильных дорог местного значения определяется как сумма ассигнований из местного бюджета на выполнение работ по содержанию автомобильных дорог по всем категориям автомобильных дорог.</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5.                      Суммарная годовая потребность в ассигнованиях из местного бюджета для выполнения комплекса дорожных работ на автомобильных дорогах местного значения определяется как сумма годовой потребности в финансировании всех видов работ по всем категориям дорог.</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6.                      Протяженность автомобильных дорог местного значения каждой категории принимается по данным государственного статистического наблюдения по состоянию на 1 января года, предшествующего планируемому периоду, с учетом планируемого ввода в эксплуатацию автомобильных дорог по результатам их реконструкции и строительства в течение года, предшествующего планируемому периоду (расчетные протяженности округляются до километров).</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7.                      Расчетная протяженность автомобильных дорог местного значения каждой категории, подлежащих капитальному ремонту на год планирования (L кап. рем.), определяется по формуле:</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L кап. рем. = L / T кап. рем. - L рек.,</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где: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L - протяженность автомобильных дорог местного значения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lastRenderedPageBreak/>
        <w:t>T кап. рем. - нормативный межремонтный срок по капитальному ремонту для дорог каждой категории (лет) согласно </w:t>
      </w:r>
      <w:hyperlink r:id="rId5" w:anchor="Par121" w:history="1">
        <w:r w:rsidRPr="002F7F03">
          <w:rPr>
            <w:color w:val="0263B2"/>
            <w:sz w:val="21"/>
            <w:szCs w:val="21"/>
            <w:u w:val="single"/>
          </w:rPr>
          <w:t>таблице 2</w:t>
        </w:r>
      </w:hyperlink>
      <w:r w:rsidRPr="002F7F03">
        <w:rPr>
          <w:color w:val="212121"/>
          <w:sz w:val="21"/>
          <w:szCs w:val="21"/>
        </w:rPr>
        <w:t>;</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L рек. - протяженность автомобильных дорог местного значения соответствующей категории, намеченных к реконструкции на год планирования (км/год).</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8.                      Расчетная протяженность автомобильных дорог местного значения соответствующей категории, подлежащих ремонту на год планирования (L рем.), определяется по формуле: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w:t>
      </w:r>
    </w:p>
    <w:p w:rsidR="002F7F03" w:rsidRPr="002F7F03" w:rsidRDefault="002F7F03" w:rsidP="002F7F03">
      <w:pPr>
        <w:shd w:val="clear" w:color="auto" w:fill="FFFFFF"/>
        <w:spacing w:after="100" w:afterAutospacing="1" w:line="240" w:lineRule="auto"/>
        <w:ind w:firstLine="0"/>
        <w:jc w:val="center"/>
        <w:rPr>
          <w:color w:val="212121"/>
          <w:sz w:val="21"/>
          <w:szCs w:val="21"/>
        </w:rPr>
      </w:pPr>
      <w:r w:rsidRPr="002F7F03">
        <w:rPr>
          <w:color w:val="212121"/>
          <w:sz w:val="21"/>
          <w:szCs w:val="21"/>
        </w:rPr>
        <w:t>L рем. = </w:t>
      </w:r>
      <w:hyperlink r:id="rId6" w:anchor="Par109" w:history="1">
        <w:r w:rsidRPr="002F7F03">
          <w:rPr>
            <w:color w:val="0263B2"/>
            <w:sz w:val="21"/>
            <w:szCs w:val="21"/>
            <w:u w:val="single"/>
          </w:rPr>
          <w:t>L</w:t>
        </w:r>
      </w:hyperlink>
      <w:r w:rsidRPr="002F7F03">
        <w:rPr>
          <w:color w:val="212121"/>
          <w:sz w:val="21"/>
          <w:szCs w:val="21"/>
        </w:rPr>
        <w:t> / T рем. - (</w:t>
      </w:r>
      <w:hyperlink r:id="rId7" w:anchor="Par111" w:history="1">
        <w:r w:rsidRPr="002F7F03">
          <w:rPr>
            <w:color w:val="0263B2"/>
            <w:sz w:val="21"/>
            <w:szCs w:val="21"/>
            <w:u w:val="single"/>
          </w:rPr>
          <w:t>L рек</w:t>
        </w:r>
      </w:hyperlink>
      <w:r w:rsidRPr="002F7F03">
        <w:rPr>
          <w:color w:val="212121"/>
          <w:sz w:val="21"/>
          <w:szCs w:val="21"/>
        </w:rPr>
        <w:t>. + </w:t>
      </w:r>
      <w:hyperlink r:id="rId8" w:anchor="Par104" w:history="1">
        <w:r w:rsidRPr="002F7F03">
          <w:rPr>
            <w:color w:val="0263B2"/>
            <w:sz w:val="21"/>
            <w:szCs w:val="21"/>
            <w:u w:val="single"/>
          </w:rPr>
          <w:t>L кап. рем</w:t>
        </w:r>
      </w:hyperlink>
      <w:r w:rsidRPr="002F7F03">
        <w:rPr>
          <w:color w:val="212121"/>
          <w:sz w:val="21"/>
          <w:szCs w:val="21"/>
        </w:rPr>
        <w:t>.),</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где:</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T рем. - нормативный межремонтный срок по ремонту для дорог каждой категории согласно таблице 2.</w:t>
      </w:r>
    </w:p>
    <w:p w:rsidR="002F7F03" w:rsidRPr="002F7F03" w:rsidRDefault="002F7F03" w:rsidP="002F7F03">
      <w:pPr>
        <w:shd w:val="clear" w:color="auto" w:fill="FFFFFF"/>
        <w:spacing w:after="100" w:afterAutospacing="1" w:line="240" w:lineRule="auto"/>
        <w:ind w:firstLine="0"/>
        <w:rPr>
          <w:color w:val="212121"/>
          <w:sz w:val="21"/>
          <w:szCs w:val="21"/>
        </w:rPr>
      </w:pPr>
      <w:r w:rsidRPr="002F7F03">
        <w:rPr>
          <w:color w:val="212121"/>
          <w:sz w:val="21"/>
          <w:szCs w:val="21"/>
        </w:rPr>
        <w:t> Таблица 2. Нормативные межремонтные сроки</w:t>
      </w:r>
    </w:p>
    <w:tbl>
      <w:tblPr>
        <w:tblW w:w="0" w:type="auto"/>
        <w:shd w:val="clear" w:color="auto" w:fill="FFFFFF"/>
        <w:tblCellMar>
          <w:left w:w="0" w:type="dxa"/>
          <w:right w:w="0" w:type="dxa"/>
        </w:tblCellMar>
        <w:tblLook w:val="04A0" w:firstRow="1" w:lastRow="0" w:firstColumn="1" w:lastColumn="0" w:noHBand="0" w:noVBand="1"/>
      </w:tblPr>
      <w:tblGrid>
        <w:gridCol w:w="3146"/>
        <w:gridCol w:w="606"/>
        <w:gridCol w:w="604"/>
        <w:gridCol w:w="604"/>
        <w:gridCol w:w="638"/>
        <w:gridCol w:w="604"/>
      </w:tblGrid>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tc>
        <w:tc>
          <w:tcPr>
            <w:tcW w:w="0" w:type="auto"/>
            <w:gridSpan w:val="5"/>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Категории дорог муниципального</w:t>
            </w:r>
          </w:p>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значения</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III</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IV</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V</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Капитальный ремонт дорог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12</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10</w:t>
            </w:r>
          </w:p>
        </w:tc>
      </w:tr>
      <w:tr w:rsidR="002F7F03" w:rsidRPr="002F7F03" w:rsidTr="002F7F03">
        <w:tc>
          <w:tcPr>
            <w:tcW w:w="0" w:type="auto"/>
            <w:shd w:val="clear" w:color="auto" w:fill="FFFFFF"/>
            <w:vAlign w:val="center"/>
            <w:hideMark/>
          </w:tcPr>
          <w:p w:rsidR="002F7F03" w:rsidRPr="002F7F03" w:rsidRDefault="002F7F03" w:rsidP="002F7F03">
            <w:pPr>
              <w:spacing w:after="100" w:afterAutospacing="1" w:line="240" w:lineRule="auto"/>
              <w:ind w:firstLine="0"/>
              <w:rPr>
                <w:color w:val="212121"/>
                <w:sz w:val="21"/>
                <w:szCs w:val="21"/>
              </w:rPr>
            </w:pPr>
            <w:r w:rsidRPr="002F7F03">
              <w:rPr>
                <w:color w:val="212121"/>
                <w:sz w:val="21"/>
                <w:szCs w:val="21"/>
              </w:rPr>
              <w:t>Ремонт дорог                         </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4</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4</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6</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6</w:t>
            </w:r>
          </w:p>
        </w:tc>
        <w:tc>
          <w:tcPr>
            <w:tcW w:w="0" w:type="auto"/>
            <w:shd w:val="clear" w:color="auto" w:fill="FFFFFF"/>
            <w:vAlign w:val="center"/>
            <w:hideMark/>
          </w:tcPr>
          <w:p w:rsidR="002F7F03" w:rsidRPr="002F7F03" w:rsidRDefault="002F7F03" w:rsidP="002F7F03">
            <w:pPr>
              <w:spacing w:after="100" w:afterAutospacing="1" w:line="240" w:lineRule="auto"/>
              <w:ind w:firstLine="0"/>
              <w:jc w:val="center"/>
              <w:rPr>
                <w:color w:val="212121"/>
                <w:sz w:val="21"/>
                <w:szCs w:val="21"/>
              </w:rPr>
            </w:pPr>
            <w:r w:rsidRPr="002F7F03">
              <w:rPr>
                <w:color w:val="212121"/>
                <w:sz w:val="21"/>
                <w:szCs w:val="21"/>
              </w:rPr>
              <w:t>5</w:t>
            </w:r>
          </w:p>
        </w:tc>
      </w:tr>
    </w:tbl>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71"/>
    <w:rsid w:val="002F7F03"/>
    <w:rsid w:val="003E0016"/>
    <w:rsid w:val="008F5B7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ED1B2-5538-430F-AE18-E2D468E8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92E"/>
    <w:pPr>
      <w:spacing w:after="0" w:line="360" w:lineRule="auto"/>
      <w:ind w:firstLine="709"/>
    </w:pPr>
    <w:rPr>
      <w:rFonts w:ascii="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F03"/>
    <w:pPr>
      <w:spacing w:before="100" w:beforeAutospacing="1" w:after="100" w:afterAutospacing="1" w:line="240" w:lineRule="auto"/>
      <w:ind w:firstLine="0"/>
    </w:pPr>
    <w:rPr>
      <w:sz w:val="24"/>
    </w:rPr>
  </w:style>
  <w:style w:type="character" w:styleId="a4">
    <w:name w:val="Hyperlink"/>
    <w:basedOn w:val="a0"/>
    <w:uiPriority w:val="99"/>
    <w:semiHidden/>
    <w:unhideWhenUsed/>
    <w:rsid w:val="002F7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laws.aspx?id=314938&amp;gov_id=441" TargetMode="External"/><Relationship Id="rId3" Type="http://schemas.openxmlformats.org/officeDocument/2006/relationships/webSettings" Target="webSettings.xml"/><Relationship Id="rId7" Type="http://schemas.openxmlformats.org/officeDocument/2006/relationships/hyperlink" Target="http://gov.cap.ru/laws.aspx?id=314938&amp;gov_id=4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laws.aspx?id=314938&amp;gov_id=441" TargetMode="External"/><Relationship Id="rId5" Type="http://schemas.openxmlformats.org/officeDocument/2006/relationships/hyperlink" Target="http://gov.cap.ru/laws.aspx?id=314938&amp;gov_id=441" TargetMode="External"/><Relationship Id="rId10" Type="http://schemas.openxmlformats.org/officeDocument/2006/relationships/theme" Target="theme/theme1.xml"/><Relationship Id="rId4" Type="http://schemas.openxmlformats.org/officeDocument/2006/relationships/hyperlink" Target="http://gov.cap.ru/laws.aspx?id=314938&amp;gov_id=44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1251</Words>
  <Characters>7131</Characters>
  <Application>Microsoft Office Word</Application>
  <DocSecurity>0</DocSecurity>
  <Lines>59</Lines>
  <Paragraphs>16</Paragraphs>
  <ScaleCrop>false</ScaleCrop>
  <Company>diakov.net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cp:revision>
  <dcterms:created xsi:type="dcterms:W3CDTF">2021-01-17T14:15:00Z</dcterms:created>
  <dcterms:modified xsi:type="dcterms:W3CDTF">2021-01-17T14:15:00Z</dcterms:modified>
</cp:coreProperties>
</file>