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соответствии с Ф.З.№131 от 06.10.2003 года «Об общих принципах организации местного самоуправления в Российской Федерации», Уставом сельского поселения Зуевка Глава муниципального образования представляет ежегодный отчет о своей работе и деятельности администрации. Подводя итоги ушедшего года, постараюсь остановиться на основных делах и программах, над которыми работала администрация.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состав сельского поселения Зуевка входят два населенных пункта: с.Зуевка и с.Верхнесъезжее. Общая численность населения: 1568 чел, из них в с.Зуевка проживают 1214 человек, в с.Верхнесъезжее – 354 человек.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Детей всего в поселении – 288 человек, из них в Зуевке – 234. В Верхнесъезжем – 54 ребенка.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Трудоспособное население в поселении всего 819 человек, из них: Зуевка имеет 628 человек, Верхнесъезжее – 191 человек.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Пенсионеров: всего- 461, из них: Зуевка – 351, Верхнесъезжее – 109.</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Молодых семей: всего -18, из них в Зуевке – 17, в Верхнесъезжем – 1.</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Включены в программу или подали заявление на оказание помощи молодым семьям – 4 семьи.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На территории поселения за отчетный год родилось 9 ч., из них в Зуевке – 7, в Верхнесъезжем – 2</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Умерло всего -20 ч., в Зуевке – 15, в Верхнесъезжем – 5.</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Прибыло на территорию поселения всего – 58ч., из них в Зуевку – 47ч., в Верхнесъезжее – 11ч.</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Убыло с территории всего – 88ч., из них из Зуевки – 71, из Верхнесъезжего – 17ч.</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Приведенная статистика показывает что демографическая ситуация ухудшается, это один из главных показателей развития и привлекательности села.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Работа администрации сельского поселения.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2018 году в администрацию поступило 5 письменных и 120 устных обращений, на личном приеме Главой поселения принято 102 человека.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Анализ поступивших обращений показал, что чаще всего в обращениях граждан поднимались вопросы функционирования систем жизнеобеспечения, уличное освещение, водоснабжение, ремонт дорог и их содержание, земельные вопросы, развитие спорта и культуры., благоустройство.</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 Издано 141 Постановление и 26 Распоряжений, подготовлено 54 проекта Решений, регламентирующий основные вопросы исполнения полномочий по решению вопросов местного значения. В течение года выдано различных справок и выписок из похозяйственных книг 927 шт. Ведется воинский учет военнообязанных граждан. Работа администрации сельского поселения по решению вопросов местного значения осуществлялась во взаимодействии с администрацией района, депутатами Собрания представителей сельского поселения Зуевка, жителями поселения, руководителями учреждений и организаций расположенных на территории поселения.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            В состав Собрания представителей сельского поселения Зуевка входят 10 депутатов. Большая часть из них имеет достаточно большой опыт депутатской работы. В течение отчетного 2018 года было проведено 17 заседаний Собрания представителей по решению основных вопросов деятельности сельского поселения Зуевка. Рассматривались вопросы бюджетной политики, внесение изменений в нормативно-правовые акты связанные с изменениями и поправками в законодательство Российской Федерации и Самарской области, вопросы землепользования, имущества и благоустройства. В общей сложности было принято 54 Решения. Нам удалось наладить устойчивую обратную связь и взаимодействие администрации, депутатского корпуса и жителей сельского поселения. Во всех изменениях, которые происходят в поселении большая заслуга наших депутатов, они организуют жителей на субботники по благоустройству и уборку придомовых территорий, контролируют работу систем жизнеобеспечения (вода, свет, дороги). Благодаря их работе мы на последних 2-х выборных компаниях 2018года показали достойный результат активности жителей. В текущем году депутаты активно работают по вопросу организации сбора и вывоза твердых коммунальных отходов.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Одной из главных задач исполнительной власти является своевременное грамотное распоряжение средствами бюджета. Прогноз собственных доходов бюджета поселения на 2018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В 2018 году Администрацией с/п Зуевка было заключено Соглашение с Правительством Самарской области о мерах по повышению эффективности использования бюджетных средств и увеличению поступления налогов. По итогам реализации Соглашения прогнозные значения социально-экономически: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х показателей выполнены на 100%. Доходная часть бюджета с/</w:t>
      </w:r>
      <w:r w:rsidRPr="00A24664">
        <w:rPr>
          <w:color w:val="212121"/>
          <w:sz w:val="21"/>
          <w:szCs w:val="21"/>
        </w:rPr>
        <w:br/>
        <w:t>п Зуевка на 2018 год запланирована в сумме 9131241 рубль. Поступило – 9124331,62 рублей. Исполнение бюджета по доходной части составило 99,9%.</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Собственные доходы:</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Налог на доходы физических лиц – 389400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Земельный налог с организаций – 682502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Земельный налог с физических лиц – 704551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Налог на имущество физических лиц – 596019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доход бюджета поселения за 2018 год поступило безвозмездных поступлений в сумме5 5350777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Дотаций из районного бюджета – 4101177,14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Стимулирующие субсидии из областного бюджета 166400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Субвенции из федерального бюджета – 83200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Расходы бюджета по поселению составили сумму 9053684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Программные направления: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 «Благоустройство территории с/п Зуевка» исполнено на 1114513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обслуживание уличного освещения – 200400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электроэнергия уличного освещения – 914113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2. «Модернизация и развитие автомобильных дорог общего пользования местного значения» исполнено 1058384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1.Ямочный ремонт дорог:</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-по пер.Солнечный на сумму 99000рублей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-по Верхнесьежее ул.Молодёжная на сумму 237600 рублей(с учётом песчанно-гравийная смесь-138600 руб.)</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2.очистка дорогот снега-242000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3.Приобретение дорожных знаков-94910рублей.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4.Оформление дорог в собственность-318675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-Муниципальная программа « Проведение праздничных мероприятий в сельском поселении Зуевка» израсходовано 64333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«Масленница»- 5000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«День Победы» -10000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«День села» -15000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«День матери»-3000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«День пожилого человека»-3000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Новогодние мероприятия -28333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-Муниципальная программа «Повышение эффективности управления муниципальным имуществом и земельными участками» израсходовано747206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-Подготовка котельных к отопительному сезону-149800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-Ремонт водопровода ул.40 Лет Победы-32000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-Оформленниеимущества(водопровод с.Верхнесьезжее,СДК,здание администрации)-185000 рублей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Кадастровые работы в отношении обьектов недвижимости.-136000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Анализы воды из водопровода с.Верхнесьезжее-85000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-Муниципальная программа «Охрана окружающей среды»</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Израсходовано 4000 рублей за анализы воды в «Святом источнике»</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Непрограмные направления расходов: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Содержание органов местного самоуправления-2477623 рублей,что соответствует нормативу на содержание ОМСУ и составляет 27,3% от бюджета поселения.(коммунальные услуги-285000 рублей,ремонт фойе администрации-135325 рублей,содержание автомобиля -146000 рублей,содержание имущества-44607,налоги-15818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Мобилизационная и военная подготовка-83200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Страхование ГТС-15000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Благоустройство:</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-средства ПАО «Лукойл» в сумме 300000 рублей за 1 место в конкурсе социальных проектов.(проект «Блажен,кто предков с чистым сердцем чтит»)</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израсходованы на благоустройство Святого колодца,реставрацию мемориальных плит,приобретение выставочных витрин для библиотеки.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На содержание коров и субсидии на молоко обратилось 42 хозяйства, выплачено 67000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На физкультуру и спорт израсходовано 256531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-заработная плата и начисления инструктору по спорту,приобретение инвентаря для заливки и очистки спортивной универсальной площадки,заливка и содержание катков с.Зуевка и Верхнесьезжее,взносы за участие в соревнованиях по футболу-42200рублей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Перечислено Межбюджетных трансфертов на содержание СДК,библиотек и исполнение части полномочий администрации района в 2018году-1859560,77 рублей.</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На 2019 год планируется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Обьём доходов -8263492 рублей ,из них</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Собственные доходы-3854131 рублей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Дотации,субсидии -3096361 рубль.</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Стимулирующие субсидии-1313000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Расходы:</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-Содержание органов местного самоуправления-2604000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-На передачу полномочий району-2101165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-Ремонт дорог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с.Зуевка-ямочный ремонт по ул.Красноармейская,отсыпка щебнем по ул.Советская в районе озера Тёпловка.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С.Верхнесьезжее –отсыпка щебнем по ул.Школьная,Береговая.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Установка дорожных знаков с.Зуевка.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-Благоустройство -319360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-электроэнергия уличного освещения-1037147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-обслуживание уличного освещения -204000рублей.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Наиболее успешно в поселении решаются те вопросы, которые в большей степени зависят от каждого из нас, от нашей гражданской позиции, профессионализма, желания. Это развитие культуры, спорта, образования и даже благоустройства. Однако эти направления затрагивают лишь определенные круги населения. А вот системы жизнеобеспечения – вода, свет, газ, дороги это общее дело всех и меньше всего зависит от самих жителей. Сейчас водопровод передан в аренду сроком на 5 лет в обслуживающую организацию «ИП Боровец» по результатам аукциона. Работать мы начали с 1 октября 2018года. За это время устранено 4 порыва, работы проведены оперативно. Достигнуто соглашение об установке запорной арматуры на максимально возможных участках, чтобы во время ремонтных работ не оставлять все село без воды. Будут установлены датчики давления на скважинах и датчики уровня воды на водонапорной башне. В связи с этим мы беспощадно будем бороться с теми кто пользуется водой «на халяву» и бездумно использует ее через незаконные врезки, а попросту крадет ее у нас с вами.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Меньше в 2018 году было проблем с уличным освещением, дополнительно было установлено 5 светильников на слабоосвещенных участках. Реже происходили отключения эектроэнергии. В основном по причине плановых работ или погодных условий. Но благодаря руководителю организации МРСК Протасову А.Н. все вопросы решались оперативно.</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По газоснабжению вопросов в течение года не поступало.</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Уход и решение социальных проблем людей пожилого возраста осуществляется на территории поселения работниками Отделения социального обслуживания. Штатный состав ОСО 18 человек, на обслуживании стоит 168 человек в с.Зуевка и 31 человек в с.Верхнесъезжее. Трудно оценить роль и вклад работников ОСО в благоустройство и развитие сельского поселения. Это основа депутатского корпуса (4 депутата), участники танцевальных, хоровых и вокальных коллективов при СДК, организаторы и участники всех субботников по благоустройству, информационный вестник села. Их труд оценен не только благодарностями от обслужаваемых и жителей села, но и руководителей района и области. Так что, уважаемые пожилые жители, вы под надежной социальной защитой наших прекрасных работников Отделения Социального Обслуживания населения.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Медицинское обслуживание жителей поселения осуществляется офисом врача общей практики в с.Зуевка и ФАПом в с.Верхнесъезжее. По информации заведующей Офиса Ионовой Н.Е., в офисе и ФАПе все лекарственные препараты для оказания срочной неотложной помощи имеются в полном объеме. Функционируют аптечные пункты. Больные-льготники имеющие инвалидность и страдающие хроническими заболеваниями(сахарный диабет, бронхиальная астма) получают бесплатные лекарственные препараты систематически. В 2018 году неотложная помощь оказывалась в 572 случаях из них 347 – на дому. Плановое прохождение флюорографии выполнено на 72%. 232 человека флюорографию не прошли. Всего 48 человек взрослого населения привито от столбняка. У детей общее количество прививок от различных инфекций 438. Уважаемые односельчане! Давайте серьезнее относиться к своему здоровью и своевременно проходить плановые медицинские обследования. Работникам офиса нужно быть более настойчивыми в достижении 100% -ых результатов. Где гарантия, что среди 232-ух жителей не прошедших флюорографию нет носителей инфекционных болезней.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I. Общая характеристика образовательного учреждения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1. Наименование ОУ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государственное бюджетное общеобразовательное учреждение Самарской области   средняя общеобразовательная школа имени Героя Советского Союза Агибалова Михаила Павловича с. Зуевка муниципального района Нефтегорский Самарской области введено в эксплуатацию в 1991 году. Предельная наполняемость: 264 человека.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школе имеются 13 классных комнат, библиотека, 2 компьютерных класса: на 8 рабочих мест и на 13 рабочих мест, медиатека, выход в Интернет, собственный сайт, музей, спортивный зал, мастерские, актовый зал, пришкольный участок,   спортивная площадка, стадион.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школе имеется автобус для подвоза учащихся из двух населенных пунктов: п. Песчаный Дол (10 учащихся), с. Кулешовка (5 учащихся).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Медицинское обслуживание обучающихся осуществляется медицинскими работниками офиса врача общей практики с. Зуевка.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Обучающиеся имеют возможность пользоваться фондом сельской библиотеки, развивать творческие и спортивные способности в школьных кружках и кружках Сельского дома культуры.</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школе имеется столовая на 72 посадочных места. 94 % обучающихся получают горячее питание. Организацию питания осуществляет общество с ограниченной ответственностью «Комбинат Питания «Южный». Стоимость комплексного обеда - 80 рублей.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На 01 января 2019 года численность обучающихся школы составляет 100 человек.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Количество классов – комплектов - 11.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2017-2018 учебном году школу окончил 1 одиннадцатиклассник: поступил в Самарский технический университет. Два ученика 9 класса Бортникова Анастасия и Федоров Виктор получили аттестат об основном общем образовании с отличием. Педагог школы Кондратьева Марина Андреевна заняла третье место в Областном конкурсе «Моя классная- самая классная», Павлов Александр Васильевич принял участие в Фестивале методических идей молодых педагогов. Ученик 10 класса Глебов Степан – занял второе место в окружном конкурсе «Ученик года». Учащиеся школы являются победителями окружного этапа Всероссийской олимпиады школьников: Ключников Иван, Ключников Александр, Сазонова Полина, Гатарычева Екатерина.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Режим работы школы: для учащихся 1-9 классов - 5-ти дневная учебная неделя; для учащихся 10-11 классов – шестидневная учебная неделя.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Школа работает с 8-00 до 18-00 часов.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С 15-00 часов – кружки и дополнительные занятия.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Всего педагогических работников – 15 человек: из них учителей 12, 2 воспитателя и 1 психолог. Из 13-ти учителей с высшей квалификационной категорией – 4 человека, с первой квалификационной категорией - 6. Три педагога без категории, это молодые специалисты, стаж их работы составляет 2 года.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Детский сад работает в режиме полного рабочего дня: с 7.00 до 19.00.</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детском саду функционирует одна разновозрастная группа, которую посещают 27 воспитанников. Имеется очередь: в 2019 году будут выпущены- 3 воспитанника, на зачисление в группу 11 детей в возрасте от 3-х до 7-ми лет. Будут зачислены в дошкольную группу трое воспитанников, остальным будет предложено место в ДОУ с. Кулешовка.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В 2018 году в школе в 7-ми учебных кабинетах установлены светодиодные светильники, осталось установить в четырех кабинетах, в дошкольной группе установлены пять детских унитазов один взрослый, шесть детских раковин и одна взрослая. Установлен душевой поддон.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Имеется проблема: Отсутствие гаража для школьного автобуса. Стоянка автобуса осуществляется на территории школы.</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Установка водонагревателей в двух детских туалетах, приобретение протирочной машины. Проверка Роспотребнадзора выявляет данные нарушения, накладывает штраф.</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Администрация школы выражает благодарность местному отделению партии «Единая Россия» за приобретение оргтехники музею истории села и подарков детям для новогодних мероприятий.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О работе учреждений культуры СДК и модельной библиотеки, можно судить по количеству мероприятий, проведенных за отчетный период, объему платных услуг, фото и видеоматериалов, подтверждающих достоверность отчета. Но главным критерием оценки работы учреждений культуры является наполняемость зрительного зала, разнообразие творческих коллективов. Благодаря энтузиазму и пониманию задач, стоящих перед ними: директором СДК ЧудаевойТ.А., художественным руководителем Кортуновой Е.В., специалистом по молодежной политике Давыдовой Е.А., нам удалось продвинуться вперед в этом направлении. Возродился хор «Березка», набирает силу танцевальный коллектив «Сударушка», вокальные коллективы «Девчата», квартет «Сирень». В прошедшем году успешно запущен проект «Праздник улицы» на уличных площадках. Растет массовость и активность жителей села при проведении общесельских традиционных мероприятий, как то «День Победы», День Села, Широкая Масленница, День Матери, День пожилого человека, уличная Елка для жителей села. Мы прекрасно понимаем, что останавливаться нельзя. Остановимся – трудно будет продолжить движение, но для дальнейшего движения нам нужна поддержка. Нужны сценические костюмы, музыкальный инструмент – баян, качественные радиомикрофоны.</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Хочу сегодня поблагодарить сотрудников Зуевской модельной библиотеки Останкову Г.А., Шацких Т.В., Останкову Т.И.. Они в рамках недостаточного финансирования не только успешно решают свои задачи, но и помогают администрации. В конце 2017 года был выигран социальный проект ПАО Лукойл и получен Грант на 300 000 рублей. Мы приобрели мотоблок с косилкой для благоустройства , обновили именные плиты погибших односельчан, закупили новые скамейки и установили их на Святом источнике и кладбище, подновили детские игровые площадки, будет восстановлен один колодец в с.Зуевка. Материал для этого уже закуплен. В 2018 году был выигран социальный проект «Православная инициатива» на сумму 120 000 рублей. Средства направлены на благоустройство Храма, Святого источника и нужды библиотеки. Сейчас они работают над новым проектом. Не сомневаюсь, что выиграют!</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Наше село многие годы шло в фарватере спортивной жизни района. У нас были великолепные футбольная и волейбольная команды, развивался хоккей, лыжи, легкая атлетика. Все это было благодаря всесторонней поддержки колхоза «Красное Знамя». Распад колхозов и других крупных предприятий района привел к упадку спорта в сельских поселениях и в районе в целом. Футбольных команд в районе сократилось с 9-и до 4-х, волейбольных – с 8-и до 3-х – 4-х ветеранских. И это несмотря на то, что количество современных спортивных объектов и сооружений ежегодно увеличивается. Парадокс объясняется тем, что, мне кажется, нужно больше средств вкладывать не только в инфраструктуру, а в развитие и поддержку самих видов спорта в виде приобретения спортивного инвентаря, спортивной формы, возможности выездов на турниры. В последние годы, благодаря инструктору по спорту Давыдовой Е.А., мы потихоньку начали двигаться вперед. У нас есть хоккейная команда, 2-е футбольные команды, силовики. Наши жители за здоровый образ жизни и развитие спорта. Это они доказали, убедительно проголосовав на Президентских выборах 2018 года за строительство Спортивно-оздоровительной площадки. Я уверен, что он будет востребован всеми жителями села от детей до пожилых. И, конечно, мы будем расширять его возможности для развития городошного спорта и настольного тенниса, будем и дальше его благоустраивать.</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Очень остро стоит проблема развития детского спорта. Мне кажется, нам необходимо с МАУ ЦФКС разработать дорожную карту развития детского спорта в районе. Наши дети готовы участвовать в ее разработке.</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Магазин «ТПС» Нефтегорское РайПО: товарооборот – 25249000р., темп роста товарооборота 104%. Сработали с прибылью.</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ИНФОРМАЦИЯ</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по РАСТЕНИЕВОДСТВУ в поселении Зуевка муниципального района Нефтегорский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2018 году в м/р Нефтегорский вся посевная площадь составила 75,7 тыс.га это 96,2 % к уровню 2017 года (78,7 тыс.га). На территории с/п Зуевка м/р Нефтегорский площадь земель засеянная сельскохозяйственными культурами в 2018 году составило 14003 га, это 18,5 % от общей посевной площади района в 2018 году. Свою сельскохозяйственную деятельность в с/п Зуевка ведут такие хозяйства, как: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ООО КХ «Волгарь» - Общая площадь земли в с/организации составляет - 17016 га, площадь посева с/х культур в с/п Зуевка в 2018 году составило - 7281 га из них: Sзерн и з/б -658 га; Sпод -5204 га; S корм – 1419 га. Площадь подсолнечника в хозяйстве составляет 67 % от общей посевной площади (Общая площадь 10293 га , площадь посева подсолнечника 6918 га). Пары - 7 207 га все находятся на территории с/п Зуевка и Верхне-съезжем.</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Снижение посевных площадей в ООО «КХ Волгарь»</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(2016- план 2019)</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Сельскохозяйственная организация ООО «КХ Волгарь» ежегодно увеличивает посевную площадь подсолнечника, и при этом снижают зерновую группу, за три года в среднем начиная с 2015 года доля подсолнечника, от общей посевной площади хозяйства увеличился с 48 % (2016 год) до 72 % (2017 год). Цифра колоссальная, поэтому следует срочно принять меры по ликвидации увеличения посевной площади подсолнечника и задуматься о пересмотре севооборота в ООО «КХ Волгарь», так как научно обоснованной долей подсолнечника в севообороте считается 8-12 % от общей посевной площади - это примерно 1350 га подсолнечника в среднем должно быть ежегодно. По предварительным данным структуры посевных площадей под урожай 2019 года, вся посевная площадь составит 9470 га, это ниже уровня 2018 года на 823 га, было в 2018 году 10293 га, при этом доля подсолнечника по предварительным данным увеличится до 82 %, а зерновой клин уменьшится на 1841 га ( в 2018 году было 2956 га зерновых и зернобобовых культур по предварительной структуре под урожай 2019 года будет 1115 га). Если Вы и дальше будете сеять такие площади то нас, как и Ростовскую область и Краснодарский край ожидают большие проблемы: снижение плодородия почвы, это наблюдать можно уже сейчас, так как восполнение элементов питания в почву идет не в полную меру за 2016-2018 гг внесено 260 тонн минеральных удобрений в виде Аммиачной селитры и Аммофоса – это менее 9 кг/га посевной площади за три сезона в ООО «КХ Волгарь». Вынос питательных веществ из почвы корневой системой подсолнечника выше, чем у зерновых культур азота в 2 раза (61,5 кг на формирование 1 тонны зерна), Фосфора в 1,5 раза (37,2 кг на формирование 1 тонны зерна), Калия в 4-5 раз (94,5 кг на формирование 1 тонны зерна) вынос превышает норму внесения во много раз,   плюс поражение заразихой – резкое снижением урожайности в 2-3 раза.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На основании вышеизложенного можно сказать, что если будет продолжаться так и дальше, то в скором времени будет возникать вопрос по изъятию земли (Постановления правительства РФ от 22.07.2011 № 612 «Об утверждении критериев существенного снижения плодородия земель сельскохозяйственного назначения»), как муниципальной, так и та, которая находится в собственности.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xml:space="preserve">Согласно ФЗ «Об утверждении критериев существенного снижения плодородия земель сельскохозяйственного назначения» земли сельскохозяйственного назначения могут быть изъяты у его собственника в судебном порядке, в случае если участок используется с нарушением установленных земельным законодательством требований рационального использования земли, повлекшим за собой </w:t>
      </w:r>
      <w:r w:rsidRPr="00A24664">
        <w:rPr>
          <w:color w:val="212121"/>
          <w:sz w:val="21"/>
          <w:szCs w:val="21"/>
        </w:rPr>
        <w:lastRenderedPageBreak/>
        <w:t>существенное снижение плодородия земель с/х назначения. Существую критерии оценки смотреть закон.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КФХ «Березовое» - 1301 га; Sзерн и з/б - 634 га; Sпод – 157 га; S корм –240 га. Площадь подсолнечника в хозяйстве составляет 24,7 % от общей посевной площади.   Приобретение техники: в 207 году было приобретено Погрузчик телескопический, Зерноуборочный комбайн Вектор- 41, в 2016 году приобретено Кировец К-744 Р3, в 2015 году приобретен кормоуборочный комбайн Вектор -41.</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ИП Глава КФХ Водопьянов С.А. – 1050 га; Sзерн и з/б – 700 га; Sпод -350 га;       S корм – нет. Площадь подсолнечника в хозяйстве составляет 50 % от общей посевной площади. Приобретение техники: за три года в 2017 году был приобретен только один Зерноуборочный Комбайн Полесье КЗС -812.</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ИП Глава КФХ Чекунов А.В. – 1359 га; Sзерн и з/б – 750 га; Sпод – 300 га;           S корм –309 га. Площадь подсолнечника в хозяйстве составляет 40 % от общей посевной площади. В 2017 году был приобретен Б/У Зерноуборочный комбайн Вектор-41.</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ИП Глава КФХ Колесников А.А. – 30 га, только кормовые культуры. Являются грантополучателями ЖИВОТНОВОДАМИ в 2017 году приобрели Белорус КУН-0,8, Подборщик и Газон.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Урожайность зерновых и зернобобовых, технических культур</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в хозяйствах с/п Зуевка</w:t>
      </w:r>
    </w:p>
    <w:p w:rsidR="00A24664" w:rsidRPr="00A24664" w:rsidRDefault="00A24664" w:rsidP="00A24664">
      <w:pPr>
        <w:spacing w:line="240" w:lineRule="auto"/>
        <w:ind w:firstLine="0"/>
        <w:rPr>
          <w:sz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19"/>
        <w:gridCol w:w="3106"/>
        <w:gridCol w:w="1904"/>
      </w:tblGrid>
      <w:tr w:rsidR="00A24664" w:rsidRPr="00A24664" w:rsidTr="00A24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Наименование хозяйствующего субъекта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Урожайность, ц/ га</w:t>
            </w:r>
          </w:p>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зерновых и зернобобовых культур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Урожайность, ц/га</w:t>
            </w:r>
          </w:p>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технических культур</w:t>
            </w:r>
          </w:p>
        </w:tc>
      </w:tr>
      <w:tr w:rsidR="00A24664" w:rsidRPr="00A24664" w:rsidTr="00A24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ООО КХ «Волгарь»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14,8</w:t>
            </w:r>
          </w:p>
        </w:tc>
      </w:tr>
      <w:tr w:rsidR="00A24664" w:rsidRPr="00A24664" w:rsidTr="00A24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КФХ «Березовое»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21,7</w:t>
            </w:r>
          </w:p>
        </w:tc>
      </w:tr>
      <w:tr w:rsidR="00A24664" w:rsidRPr="00A24664" w:rsidTr="00A24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ИП Глава КФХ Водопьянов 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17,7</w:t>
            </w:r>
          </w:p>
        </w:tc>
      </w:tr>
      <w:tr w:rsidR="00A24664" w:rsidRPr="00A24664" w:rsidTr="00A24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ИП Глава КФХ Чекунов А.В.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8,0</w:t>
            </w:r>
          </w:p>
        </w:tc>
      </w:tr>
      <w:tr w:rsidR="00A24664" w:rsidRPr="00A24664" w:rsidTr="00A24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средняя урожайность по с/п Зуевка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4664" w:rsidRPr="00A24664" w:rsidRDefault="00A24664" w:rsidP="00A24664">
            <w:pPr>
              <w:spacing w:after="100" w:afterAutospacing="1" w:line="240" w:lineRule="auto"/>
              <w:ind w:firstLine="0"/>
              <w:jc w:val="center"/>
              <w:rPr>
                <w:color w:val="212121"/>
                <w:sz w:val="21"/>
                <w:szCs w:val="21"/>
              </w:rPr>
            </w:pPr>
            <w:r w:rsidRPr="00A24664">
              <w:rPr>
                <w:color w:val="212121"/>
                <w:sz w:val="21"/>
                <w:szCs w:val="21"/>
              </w:rPr>
              <w:t>15,6</w:t>
            </w:r>
          </w:p>
        </w:tc>
      </w:tr>
    </w:tbl>
    <w:p w:rsidR="00A24664" w:rsidRPr="00A24664" w:rsidRDefault="00A24664" w:rsidP="00A24664">
      <w:pPr>
        <w:spacing w:line="240" w:lineRule="auto"/>
        <w:ind w:firstLine="0"/>
        <w:rPr>
          <w:sz w:val="24"/>
        </w:rPr>
      </w:pPr>
      <w:r w:rsidRPr="00A24664">
        <w:rPr>
          <w:color w:val="212121"/>
          <w:sz w:val="21"/>
          <w:szCs w:val="21"/>
        </w:rPr>
        <w:br/>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с/п Зуевка м/р Нефтегорский, валовой сбор яровых зерновых, озимых и зернобобовых культур собрано в 2018 году – 3 707 тонн это 7 % от общего валового сбора района (56 039 тонн).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Согласно подтверждающим данным сельхозтоваропроизводителей по отчетности (2 фермер) численность рабочих аграрного сектора на территории с/п Зуевка составляет 42 человека.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ООО КХ «Волгарь» -30 человек;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КФХ «Березовое» - 3 человека;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ИП Глава КФХ Водопьянов С.А. –3 человек;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ИП Глава КФХ Чекунов А.В. –6 человек;</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lastRenderedPageBreak/>
        <w:t>Информация</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по животноводству в поселении Зуевка муниципального района Нефтегорский.</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На территории поселения Зуевка действует : 2 – СХО, 2 - КФХ   и 569 – ЛПХ, которые занимаются   животноводством. Выплачено ЛПХ на содержание коров – 67 тыс.руб</w:t>
      </w:r>
    </w:p>
    <w:p w:rsidR="00A24664" w:rsidRPr="00A24664" w:rsidRDefault="00A24664" w:rsidP="00A24664">
      <w:pPr>
        <w:shd w:val="clear" w:color="auto" w:fill="FFFFFF"/>
        <w:spacing w:after="100" w:afterAutospacing="1" w:line="240" w:lineRule="auto"/>
        <w:ind w:firstLine="0"/>
        <w:jc w:val="center"/>
        <w:rPr>
          <w:color w:val="212121"/>
          <w:sz w:val="21"/>
          <w:szCs w:val="21"/>
        </w:rPr>
      </w:pPr>
      <w:r w:rsidRPr="00A24664">
        <w:rPr>
          <w:color w:val="212121"/>
          <w:sz w:val="21"/>
          <w:szCs w:val="21"/>
        </w:rPr>
        <w:t>По состоянию на 01 января 2019 года во всех категориях хозяйств имеется: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КРС всего - 619 голов – 118 % к 2018 г (526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Коров – 190 голов – 1,5 раза к 2018 г (130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СХО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КРС всего: - 278 голов - 104% к 2018 году (268 гол),</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т.ч. коров 15 голов – % к 2018 году (0 гол).</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КФХ:</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КРС всего: - 110 голов - в 4,4 раза к 2018 году (25 гол),</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т.ч. коров 45 голов – % к 2018 году (0 гол).</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ЛПХ:</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КРС всего - 231 голова - 99 % к 2018 г ( 233 голов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коров – 130 голов – 100% к 2018 г (130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свиней - 240 голов – 99 % к 2018 г (242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овец и коз – 295 голов – 97% к 2018 г ( 302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птицы – 3420 голов – 87 %   к 2018 г (3944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пчелосемьи – 49 п.с - 100 % к 2018 г (49 пч. семей),</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кроликов – 51 голова – 18 % к 2018 г – 282( голов).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Произведено молока на 01.01.2019 года: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 ЛПХ – 843,8 тонн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всего произведено молока – 843,8 тонн.</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Что сделано в 2018 году.</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      Восстановлено ГТС Зуевского водохранилища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2.      Выигран и реализован проект С.О.П. и благоустроен силами жителей села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3.      Произведена реконструкция уличного освещения улиц: 40 лет Победы, Молодежная, Луговая, Школьная, пр.Агибалова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4.      Дополнительно установлено 5 светильников уличного освещения на слабоосвещенных участках улиц</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5.      Произведен ремонт дорог ул.Молодежная – 100 кв.м и отсыпка П.Г.С. по ул.Школьная, Заречная в с.Верхнесъезжее. Ремонт дороги пер.Солнечный. Закуплены дорожные знаки.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6.      Произведена планировка территории бывшего детского сада «Солнышко»</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7.      В рамках реализации проектов ПАО «Лукойл» и «Православная инициатива» закуплен мотоблок-косилка, обновлены мемориальные плиты, погибших воинов в ВОВ. Закуплены и установлены парковые скамейки и мусорные урны, благоустроена территория «Святого Колодца». Закуплена оргтехника и фото-видеоаппаратура, а также мебель для модельной библиотеки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8.      Оформлены в собственность бесхозные объекты: здание Правления колхоза «Красное знамя» и здание минипекарни. Решается вопрос о их дальнейшей судьбе. Оформляется здание КБО.</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9.      Отремонтировано фойе здания администрации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10. Обеспечено содержание и функционирование спортивных объектов и детских игровых площадок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11. Проведены мероприятия по отлову безнадзорных собак. Было отловлено в Зуевке 6 взрослых и 5 щенков, в Верхнесъезжем - 3 взрослые собаки</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Предстоит сделать в 2019 году</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      Благоустройство озера «Тепловка»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2.      Благоустройство С.О.П., установка площадок для настольного тенниса и городошного спорта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3.      Ремонт подвисных мостов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4.      Установка щитов для объявлений по улицам</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5.      Оформление бесхозных объектов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6.      Установка запорной арматуры и датчиков давления на водопроводных сетях</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7.      Благоустройство территории и покрытия ледовой площадки с.Верхнесъезжее</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8.      Благоустройство первого колодца с.Зуевка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9.      Ремонт дорог:ул.Красноармейская, ул.Советская от ДК, вм Верхнесъезжем: ул.Береговая, Школьная, установка дорожных знаков.</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10. Благоустройство территорий учреждений и организаций с.п.Зуевка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11. Благоустройство кладбищ, парков, скверов, придомовых территорий с.п.Зуевка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lastRenderedPageBreak/>
        <w:t>12. Найти пути решения проблемы моста на ул.Красноармейская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13. Отработать схему сбора и вывоза ТКО и ЖКО с территории поселения</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14. подготовка учреждений и объектов к зимнему отопительному сезону</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15. Обеспечить безопасность поселения в период весеннего паводка и пожарную безопасность в летний период</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16. Косметический ремонт фойе СДК с.Зуевка</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Подводя итоги отчетного 2018 года, хотелось бы сказать, что благодаря активной работе депутатского корпуса, учреждений расположенных на территории сельского поселения, активной гражданской позиции жителей села, нам удалось сделать пусть небольшой шаг вперед в решении проблем поселения и его благоустройства. Но впереди в предстоящем году нас ждет не менее напряженная работа по всем направлениям жизнедеятельности села и это не только те проблемы которые возникают в силу определенных обстоятельств, но и те которые много лет ждут своей очереди – дороги, мосты, бесхоз, брошенные огороды и пустыри. И все же у меня есть твердая уверенность, что если мы и дальше будем работать так же единой командой, мы не только сумеем изменить ситуацию в селе, мы и сами изменимся в лучшую сторону. Я хотел бы от всех жителей села поблагодарить Бортникова А.В., Полянских С.С., Гуреева А.В., Юнгова Н.А., Давыдова А.В., Зуева А.М., Козлова И.Б. за то что они вернули нам наше прекрасное водохранилище. За то что они бескорыстно занимаются содержанием дороги по ул.Ленина. Поблагодарить семью Останковых А.Н. и Т.В., Кобякину А.М., Воротынцева Ю.Н., Кижаева В.В.и всех кто принимал участие в благоустройстве Спротивно-оздоровительной площадки, кто принимает участие в благоустройстве кладбища, своих улиц и личных подворий. Поблагодарить Тарасевич Л.В. за помощь в решении проблем села. На празднике «День Села» мы обязательно отметим всех, кто дарит нам этот праздник</w:t>
      </w:r>
    </w:p>
    <w:p w:rsidR="00A24664" w:rsidRPr="00A24664" w:rsidRDefault="00A24664" w:rsidP="00A24664">
      <w:pPr>
        <w:shd w:val="clear" w:color="auto" w:fill="FFFFFF"/>
        <w:spacing w:after="100" w:afterAutospacing="1" w:line="240" w:lineRule="auto"/>
        <w:ind w:firstLine="0"/>
        <w:rPr>
          <w:color w:val="212121"/>
          <w:sz w:val="21"/>
          <w:szCs w:val="21"/>
        </w:rPr>
      </w:pPr>
      <w:r w:rsidRPr="00A24664">
        <w:rPr>
          <w:color w:val="212121"/>
          <w:sz w:val="21"/>
          <w:szCs w:val="21"/>
        </w:rPr>
        <w:t> </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01"/>
    <w:rsid w:val="003E0016"/>
    <w:rsid w:val="00A24664"/>
    <w:rsid w:val="00E36E0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A7C87-B35E-46D9-953D-4D06ACA2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2E"/>
    <w:pPr>
      <w:spacing w:after="0" w:line="360" w:lineRule="auto"/>
      <w:ind w:firstLine="709"/>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664"/>
    <w:pPr>
      <w:spacing w:before="100" w:beforeAutospacing="1" w:after="100" w:afterAutospacing="1" w:line="240" w:lineRule="auto"/>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4573</Words>
  <Characters>26072</Characters>
  <Application>Microsoft Office Word</Application>
  <DocSecurity>0</DocSecurity>
  <Lines>217</Lines>
  <Paragraphs>61</Paragraphs>
  <ScaleCrop>false</ScaleCrop>
  <Company>diakov.net</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2021-01-25T11:24:00Z</dcterms:created>
  <dcterms:modified xsi:type="dcterms:W3CDTF">2021-01-25T11:24:00Z</dcterms:modified>
</cp:coreProperties>
</file>